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pacing w:line="620" w:lineRule="exact"/>
        <w:rPr>
          <w:rFonts w:ascii="黑体" w:hAnsi="黑体" w:eastAsia="黑体" w:cs="黑体"/>
          <w:sz w:val="32"/>
          <w:szCs w:val="32"/>
        </w:rPr>
      </w:pPr>
      <w:bookmarkStart w:id="0" w:name="OLE_LINK9"/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：</w:t>
      </w:r>
      <w:r>
        <w:rPr>
          <w:rFonts w:hint="eastAsia" w:ascii="黑体" w:hAnsi="黑体" w:eastAsia="黑体" w:cs="黑体"/>
          <w:sz w:val="32"/>
          <w:szCs w:val="32"/>
        </w:rPr>
        <w:t>1</w:t>
      </w:r>
    </w:p>
    <w:p>
      <w:pPr>
        <w:spacing w:line="62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示范性老年大学、老年学校及老年学习</w:t>
      </w:r>
    </w:p>
    <w:p>
      <w:pPr>
        <w:spacing w:line="62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中心创建申报表</w:t>
      </w:r>
    </w:p>
    <w:p>
      <w:pPr>
        <w:spacing w:line="620" w:lineRule="exact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仿宋_GB2312" w:hAnsi="仿宋_GB2312" w:eastAsia="仿宋_GB2312" w:cs="仿宋_GB2312"/>
          <w:bCs/>
          <w:sz w:val="22"/>
          <w:szCs w:val="22"/>
        </w:rPr>
        <w:t xml:space="preserve">申报类型：    </w:t>
      </w:r>
      <w:r>
        <w:rPr>
          <w:rFonts w:hint="eastAsia" w:ascii="仿宋_GB2312" w:hAnsi="仿宋_GB2312" w:eastAsia="仿宋_GB2312" w:cs="仿宋_GB2312"/>
          <w:bCs/>
          <w:sz w:val="22"/>
          <w:szCs w:val="22"/>
        </w:rPr>
        <w:sym w:font="Wingdings 2" w:char="00A3"/>
      </w:r>
      <w:r>
        <w:rPr>
          <w:rFonts w:hint="eastAsia" w:ascii="仿宋_GB2312" w:hAnsi="仿宋_GB2312" w:eastAsia="仿宋_GB2312" w:cs="仿宋_GB2312"/>
          <w:bCs/>
          <w:sz w:val="22"/>
          <w:szCs w:val="22"/>
        </w:rPr>
        <w:t xml:space="preserve">老年大学     </w:t>
      </w:r>
      <w:r>
        <w:rPr>
          <w:rFonts w:hint="eastAsia" w:ascii="仿宋_GB2312" w:hAnsi="仿宋_GB2312" w:eastAsia="仿宋_GB2312" w:cs="仿宋_GB2312"/>
          <w:bCs/>
          <w:sz w:val="22"/>
          <w:szCs w:val="22"/>
        </w:rPr>
        <w:sym w:font="Wingdings 2" w:char="00A3"/>
      </w:r>
      <w:r>
        <w:rPr>
          <w:rFonts w:hint="eastAsia" w:ascii="仿宋_GB2312" w:hAnsi="仿宋_GB2312" w:eastAsia="仿宋_GB2312" w:cs="仿宋_GB2312"/>
          <w:bCs/>
          <w:sz w:val="22"/>
          <w:szCs w:val="22"/>
        </w:rPr>
        <w:t xml:space="preserve">老年学校     </w:t>
      </w:r>
      <w:r>
        <w:rPr>
          <w:rFonts w:hint="eastAsia" w:ascii="仿宋_GB2312" w:hAnsi="仿宋_GB2312" w:eastAsia="仿宋_GB2312" w:cs="仿宋_GB2312"/>
          <w:bCs/>
          <w:sz w:val="22"/>
          <w:szCs w:val="22"/>
        </w:rPr>
        <w:sym w:font="Wingdings 2" w:char="00A3"/>
      </w:r>
      <w:r>
        <w:rPr>
          <w:rFonts w:hint="eastAsia" w:ascii="仿宋_GB2312" w:hAnsi="仿宋_GB2312" w:eastAsia="仿宋_GB2312" w:cs="仿宋_GB2312"/>
          <w:bCs/>
          <w:sz w:val="22"/>
          <w:szCs w:val="22"/>
        </w:rPr>
        <w:t>老年学习中心</w:t>
      </w:r>
    </w:p>
    <w:tbl>
      <w:tblPr>
        <w:tblStyle w:val="4"/>
        <w:tblW w:w="5038" w:type="pct"/>
        <w:tblInd w:w="-6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8"/>
        <w:gridCol w:w="697"/>
        <w:gridCol w:w="307"/>
        <w:gridCol w:w="36"/>
        <w:gridCol w:w="974"/>
        <w:gridCol w:w="866"/>
        <w:gridCol w:w="910"/>
        <w:gridCol w:w="1087"/>
        <w:gridCol w:w="251"/>
        <w:gridCol w:w="797"/>
        <w:gridCol w:w="19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7" w:hRule="atLeast"/>
        </w:trPr>
        <w:tc>
          <w:tcPr>
            <w:tcW w:w="395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2"/>
                <w:szCs w:val="22"/>
              </w:rPr>
              <w:t>基本信息</w:t>
            </w:r>
          </w:p>
        </w:tc>
        <w:tc>
          <w:tcPr>
            <w:tcW w:w="58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2"/>
                <w:szCs w:val="22"/>
              </w:rPr>
              <w:t>申报单位名称</w:t>
            </w:r>
          </w:p>
        </w:tc>
        <w:tc>
          <w:tcPr>
            <w:tcW w:w="161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仿宋_GB2312" w:eastAsia="仿宋_GB2312" w:cs="仿宋_GB2312"/>
                <w:bCs/>
                <w:sz w:val="22"/>
                <w:szCs w:val="22"/>
              </w:rPr>
            </w:pPr>
          </w:p>
        </w:tc>
        <w:tc>
          <w:tcPr>
            <w:tcW w:w="77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上级单位</w:t>
            </w:r>
          </w:p>
          <w:p>
            <w:pPr>
              <w:jc w:val="left"/>
              <w:rPr>
                <w:rFonts w:ascii="仿宋_GB2312" w:hAnsi="仿宋_GB2312" w:eastAsia="仿宋_GB2312" w:cs="仿宋_GB2312"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或审批部门</w:t>
            </w:r>
          </w:p>
        </w:tc>
        <w:tc>
          <w:tcPr>
            <w:tcW w:w="162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仿宋_GB2312" w:eastAsia="仿宋_GB2312" w:cs="仿宋_GB2312"/>
                <w:bCs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</w:trPr>
        <w:tc>
          <w:tcPr>
            <w:tcW w:w="395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Cs/>
                <w:sz w:val="22"/>
                <w:szCs w:val="22"/>
              </w:rPr>
            </w:pPr>
          </w:p>
        </w:tc>
        <w:tc>
          <w:tcPr>
            <w:tcW w:w="58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2"/>
                <w:szCs w:val="22"/>
              </w:rPr>
              <w:t>老年大学地址</w:t>
            </w:r>
          </w:p>
        </w:tc>
        <w:tc>
          <w:tcPr>
            <w:tcW w:w="4018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仿宋_GB2312" w:eastAsia="仿宋_GB2312" w:cs="仿宋_GB2312"/>
                <w:bCs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" w:hRule="atLeast"/>
        </w:trPr>
        <w:tc>
          <w:tcPr>
            <w:tcW w:w="39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仿宋_GB2312" w:hAnsi="仿宋_GB2312" w:eastAsia="仿宋_GB2312" w:cs="仿宋_GB2312"/>
                <w:bCs/>
                <w:sz w:val="22"/>
                <w:szCs w:val="22"/>
              </w:rPr>
            </w:pPr>
          </w:p>
        </w:tc>
        <w:tc>
          <w:tcPr>
            <w:tcW w:w="117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220" w:hanging="220" w:hangingChars="100"/>
              <w:jc w:val="left"/>
              <w:rPr>
                <w:rFonts w:ascii="仿宋_GB2312" w:hAnsi="仿宋_GB2312" w:eastAsia="仿宋_GB2312" w:cs="仿宋_GB2312"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2"/>
                <w:szCs w:val="22"/>
              </w:rPr>
              <w:t>老年大学（机构）负责人</w:t>
            </w:r>
          </w:p>
        </w:tc>
        <w:tc>
          <w:tcPr>
            <w:tcW w:w="103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77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联系电话</w:t>
            </w:r>
          </w:p>
        </w:tc>
        <w:tc>
          <w:tcPr>
            <w:tcW w:w="162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9" w:hRule="atLeast"/>
        </w:trPr>
        <w:tc>
          <w:tcPr>
            <w:tcW w:w="395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2"/>
                <w:szCs w:val="22"/>
              </w:rPr>
              <w:t>教学条件</w:t>
            </w:r>
          </w:p>
        </w:tc>
        <w:tc>
          <w:tcPr>
            <w:tcW w:w="4604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2"/>
                <w:szCs w:val="22"/>
              </w:rPr>
              <w:t>教学设施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9" w:hRule="atLeast"/>
        </w:trPr>
        <w:tc>
          <w:tcPr>
            <w:tcW w:w="395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Cs/>
                <w:sz w:val="22"/>
                <w:szCs w:val="22"/>
              </w:rPr>
            </w:pPr>
          </w:p>
        </w:tc>
        <w:tc>
          <w:tcPr>
            <w:tcW w:w="117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建筑面积（m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superscript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）</w:t>
            </w:r>
          </w:p>
        </w:tc>
        <w:tc>
          <w:tcPr>
            <w:tcW w:w="103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24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教室数量（个）</w:t>
            </w:r>
          </w:p>
        </w:tc>
        <w:tc>
          <w:tcPr>
            <w:tcW w:w="11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9" w:hRule="atLeast"/>
        </w:trPr>
        <w:tc>
          <w:tcPr>
            <w:tcW w:w="395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仿宋_GB2312" w:hAnsi="仿宋_GB2312" w:eastAsia="仿宋_GB2312" w:cs="仿宋_GB2312"/>
                <w:bCs/>
                <w:sz w:val="22"/>
                <w:szCs w:val="22"/>
              </w:rPr>
            </w:pPr>
          </w:p>
        </w:tc>
        <w:tc>
          <w:tcPr>
            <w:tcW w:w="406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专业教室</w:t>
            </w:r>
          </w:p>
        </w:tc>
        <w:tc>
          <w:tcPr>
            <w:tcW w:w="127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声乐教室（个）</w:t>
            </w:r>
          </w:p>
        </w:tc>
        <w:tc>
          <w:tcPr>
            <w:tcW w:w="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24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形体教室（个）</w:t>
            </w:r>
          </w:p>
        </w:tc>
        <w:tc>
          <w:tcPr>
            <w:tcW w:w="11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9" w:hRule="atLeast"/>
        </w:trPr>
        <w:tc>
          <w:tcPr>
            <w:tcW w:w="395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仿宋_GB2312" w:hAnsi="仿宋_GB2312" w:eastAsia="仿宋_GB2312" w:cs="仿宋_GB2312"/>
                <w:bCs/>
                <w:sz w:val="22"/>
                <w:szCs w:val="22"/>
              </w:rPr>
            </w:pPr>
          </w:p>
        </w:tc>
        <w:tc>
          <w:tcPr>
            <w:tcW w:w="406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27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书法绘画教室（个）</w:t>
            </w:r>
          </w:p>
        </w:tc>
        <w:tc>
          <w:tcPr>
            <w:tcW w:w="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24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康养教室（个）</w:t>
            </w:r>
          </w:p>
        </w:tc>
        <w:tc>
          <w:tcPr>
            <w:tcW w:w="11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9" w:hRule="atLeast"/>
        </w:trPr>
        <w:tc>
          <w:tcPr>
            <w:tcW w:w="395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仿宋_GB2312" w:hAnsi="仿宋_GB2312" w:eastAsia="仿宋_GB2312" w:cs="仿宋_GB2312"/>
                <w:bCs/>
                <w:sz w:val="22"/>
                <w:szCs w:val="22"/>
              </w:rPr>
            </w:pPr>
          </w:p>
        </w:tc>
        <w:tc>
          <w:tcPr>
            <w:tcW w:w="406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27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智慧助老教室（个）</w:t>
            </w:r>
          </w:p>
        </w:tc>
        <w:tc>
          <w:tcPr>
            <w:tcW w:w="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24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特色教室（个）</w:t>
            </w:r>
          </w:p>
        </w:tc>
        <w:tc>
          <w:tcPr>
            <w:tcW w:w="11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9" w:hRule="atLeast"/>
        </w:trPr>
        <w:tc>
          <w:tcPr>
            <w:tcW w:w="395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仿宋_GB2312" w:hAnsi="仿宋_GB2312" w:eastAsia="仿宋_GB2312" w:cs="仿宋_GB2312"/>
                <w:bCs/>
                <w:sz w:val="22"/>
                <w:szCs w:val="22"/>
              </w:rPr>
            </w:pPr>
          </w:p>
        </w:tc>
        <w:tc>
          <w:tcPr>
            <w:tcW w:w="406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271" w:type="pct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校外基地数量（个）</w:t>
            </w:r>
          </w:p>
        </w:tc>
        <w:tc>
          <w:tcPr>
            <w:tcW w:w="526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240" w:type="pct"/>
            <w:gridSpan w:val="3"/>
            <w:tcBorders>
              <w:top w:val="single" w:color="auto" w:sz="4" w:space="0"/>
              <w:left w:val="single" w:color="auto" w:sz="4" w:space="0"/>
              <w:right w:val="nil"/>
            </w:tcBorders>
            <w:vAlign w:val="center"/>
          </w:tcPr>
          <w:p>
            <w:pPr>
              <w:spacing w:line="360" w:lineRule="auto"/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基地名称</w:t>
            </w:r>
          </w:p>
        </w:tc>
        <w:tc>
          <w:tcPr>
            <w:tcW w:w="11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名称1.2…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9" w:hRule="atLeast"/>
        </w:trPr>
        <w:tc>
          <w:tcPr>
            <w:tcW w:w="395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仿宋_GB2312" w:hAnsi="仿宋_GB2312" w:eastAsia="仿宋_GB2312" w:cs="仿宋_GB2312"/>
                <w:bCs/>
                <w:sz w:val="22"/>
                <w:szCs w:val="22"/>
              </w:rPr>
            </w:pPr>
          </w:p>
        </w:tc>
        <w:tc>
          <w:tcPr>
            <w:tcW w:w="4604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队伍建设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9" w:hRule="atLeast"/>
        </w:trPr>
        <w:tc>
          <w:tcPr>
            <w:tcW w:w="395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仿宋_GB2312" w:hAnsi="仿宋_GB2312" w:eastAsia="仿宋_GB2312" w:cs="仿宋_GB2312"/>
                <w:bCs/>
                <w:sz w:val="22"/>
                <w:szCs w:val="22"/>
              </w:rPr>
            </w:pPr>
          </w:p>
        </w:tc>
        <w:tc>
          <w:tcPr>
            <w:tcW w:w="117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管理人员人数</w:t>
            </w:r>
          </w:p>
        </w:tc>
        <w:tc>
          <w:tcPr>
            <w:tcW w:w="103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24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专职教师人数</w:t>
            </w:r>
          </w:p>
        </w:tc>
        <w:tc>
          <w:tcPr>
            <w:tcW w:w="11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9" w:hRule="atLeast"/>
        </w:trPr>
        <w:tc>
          <w:tcPr>
            <w:tcW w:w="395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仿宋_GB2312" w:hAnsi="仿宋_GB2312" w:eastAsia="仿宋_GB2312" w:cs="仿宋_GB2312"/>
                <w:bCs/>
                <w:sz w:val="22"/>
                <w:szCs w:val="22"/>
              </w:rPr>
            </w:pPr>
          </w:p>
        </w:tc>
        <w:tc>
          <w:tcPr>
            <w:tcW w:w="117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兼职教师人数</w:t>
            </w:r>
          </w:p>
        </w:tc>
        <w:tc>
          <w:tcPr>
            <w:tcW w:w="103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24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市级以上名师人数</w:t>
            </w:r>
          </w:p>
        </w:tc>
        <w:tc>
          <w:tcPr>
            <w:tcW w:w="11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" w:hRule="atLeast"/>
        </w:trPr>
        <w:tc>
          <w:tcPr>
            <w:tcW w:w="395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仿宋_GB2312" w:hAnsi="仿宋_GB2312" w:eastAsia="仿宋_GB2312" w:cs="仿宋_GB2312"/>
                <w:bCs/>
                <w:sz w:val="22"/>
                <w:szCs w:val="22"/>
              </w:rPr>
            </w:pPr>
          </w:p>
        </w:tc>
        <w:tc>
          <w:tcPr>
            <w:tcW w:w="117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副高以上人数</w:t>
            </w:r>
          </w:p>
        </w:tc>
        <w:tc>
          <w:tcPr>
            <w:tcW w:w="103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24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市级以上专家人数</w:t>
            </w:r>
          </w:p>
        </w:tc>
        <w:tc>
          <w:tcPr>
            <w:tcW w:w="11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9" w:hRule="atLeast"/>
        </w:trPr>
        <w:tc>
          <w:tcPr>
            <w:tcW w:w="395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仿宋_GB2312" w:hAnsi="仿宋_GB2312" w:eastAsia="仿宋_GB2312" w:cs="仿宋_GB2312"/>
                <w:bCs/>
                <w:sz w:val="22"/>
                <w:szCs w:val="22"/>
              </w:rPr>
            </w:pPr>
          </w:p>
        </w:tc>
        <w:tc>
          <w:tcPr>
            <w:tcW w:w="4604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课程资源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9" w:hRule="atLeast"/>
        </w:trPr>
        <w:tc>
          <w:tcPr>
            <w:tcW w:w="395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仿宋_GB2312" w:hAnsi="仿宋_GB2312" w:eastAsia="仿宋_GB2312" w:cs="仿宋_GB2312"/>
                <w:bCs/>
                <w:sz w:val="22"/>
                <w:szCs w:val="22"/>
              </w:rPr>
            </w:pPr>
          </w:p>
        </w:tc>
        <w:tc>
          <w:tcPr>
            <w:tcW w:w="117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ascii="仿宋_GB2312" w:hAnsi="仿宋_GB2312" w:eastAsia="仿宋_GB2312" w:cs="仿宋_GB2312"/>
                <w:color w:val="FF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专业数量（近二年）</w:t>
            </w:r>
          </w:p>
        </w:tc>
        <w:tc>
          <w:tcPr>
            <w:tcW w:w="103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24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特色专业名称</w:t>
            </w:r>
          </w:p>
        </w:tc>
        <w:tc>
          <w:tcPr>
            <w:tcW w:w="11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名称1.2…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395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仿宋_GB2312" w:hAnsi="仿宋_GB2312" w:eastAsia="仿宋_GB2312" w:cs="仿宋_GB2312"/>
                <w:bCs/>
                <w:sz w:val="22"/>
                <w:szCs w:val="22"/>
              </w:rPr>
            </w:pPr>
          </w:p>
        </w:tc>
        <w:tc>
          <w:tcPr>
            <w:tcW w:w="117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课程数量（近二年）</w:t>
            </w:r>
          </w:p>
        </w:tc>
        <w:tc>
          <w:tcPr>
            <w:tcW w:w="103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24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优质课程名称</w:t>
            </w:r>
          </w:p>
        </w:tc>
        <w:tc>
          <w:tcPr>
            <w:tcW w:w="11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名称1.2…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9" w:hRule="atLeast"/>
        </w:trPr>
        <w:tc>
          <w:tcPr>
            <w:tcW w:w="395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仿宋_GB2312" w:hAnsi="仿宋_GB2312" w:eastAsia="仿宋_GB2312" w:cs="仿宋_GB2312"/>
                <w:bCs/>
                <w:sz w:val="22"/>
                <w:szCs w:val="22"/>
              </w:rPr>
            </w:pPr>
          </w:p>
        </w:tc>
        <w:tc>
          <w:tcPr>
            <w:tcW w:w="117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自建课程数量（个）</w:t>
            </w:r>
          </w:p>
        </w:tc>
        <w:tc>
          <w:tcPr>
            <w:tcW w:w="103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24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特色课程名称</w:t>
            </w:r>
          </w:p>
        </w:tc>
        <w:tc>
          <w:tcPr>
            <w:tcW w:w="11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名称1.2…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9" w:hRule="atLeast"/>
        </w:trPr>
        <w:tc>
          <w:tcPr>
            <w:tcW w:w="395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仿宋_GB2312" w:hAnsi="仿宋_GB2312" w:eastAsia="仿宋_GB2312" w:cs="仿宋_GB2312"/>
                <w:bCs/>
                <w:sz w:val="22"/>
                <w:szCs w:val="22"/>
              </w:rPr>
            </w:pPr>
          </w:p>
        </w:tc>
        <w:tc>
          <w:tcPr>
            <w:tcW w:w="117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自建学习资源（个）</w:t>
            </w:r>
          </w:p>
        </w:tc>
        <w:tc>
          <w:tcPr>
            <w:tcW w:w="103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24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自建学习资源时长</w:t>
            </w:r>
          </w:p>
        </w:tc>
        <w:tc>
          <w:tcPr>
            <w:tcW w:w="11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9" w:hRule="atLeast"/>
        </w:trPr>
        <w:tc>
          <w:tcPr>
            <w:tcW w:w="395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仿宋_GB2312" w:hAnsi="仿宋_GB2312" w:eastAsia="仿宋_GB2312" w:cs="仿宋_GB2312"/>
                <w:bCs/>
                <w:sz w:val="22"/>
                <w:szCs w:val="22"/>
              </w:rPr>
            </w:pPr>
          </w:p>
        </w:tc>
        <w:tc>
          <w:tcPr>
            <w:tcW w:w="4604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数字化学习平台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9" w:hRule="atLeast"/>
        </w:trPr>
        <w:tc>
          <w:tcPr>
            <w:tcW w:w="395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仿宋_GB2312" w:hAnsi="仿宋_GB2312" w:eastAsia="仿宋_GB2312" w:cs="仿宋_GB2312"/>
                <w:bCs/>
                <w:sz w:val="22"/>
                <w:szCs w:val="22"/>
              </w:rPr>
            </w:pPr>
          </w:p>
        </w:tc>
        <w:tc>
          <w:tcPr>
            <w:tcW w:w="2205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自建平台情况</w:t>
            </w:r>
          </w:p>
        </w:tc>
        <w:tc>
          <w:tcPr>
            <w:tcW w:w="239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国家及省级平台应用情况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9" w:hRule="atLeast"/>
        </w:trPr>
        <w:tc>
          <w:tcPr>
            <w:tcW w:w="395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仿宋_GB2312" w:hAnsi="仿宋_GB2312" w:eastAsia="仿宋_GB2312" w:cs="仿宋_GB2312"/>
                <w:bCs/>
                <w:sz w:val="22"/>
                <w:szCs w:val="22"/>
              </w:rPr>
            </w:pPr>
          </w:p>
        </w:tc>
        <w:tc>
          <w:tcPr>
            <w:tcW w:w="117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自建平台名称</w:t>
            </w:r>
          </w:p>
        </w:tc>
        <w:tc>
          <w:tcPr>
            <w:tcW w:w="103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名称1.2…</w:t>
            </w:r>
          </w:p>
        </w:tc>
        <w:tc>
          <w:tcPr>
            <w:tcW w:w="124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是否应用全民终身学习公共服务平台</w:t>
            </w:r>
          </w:p>
        </w:tc>
        <w:tc>
          <w:tcPr>
            <w:tcW w:w="11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9" w:hRule="atLeast"/>
        </w:trPr>
        <w:tc>
          <w:tcPr>
            <w:tcW w:w="395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仿宋_GB2312" w:hAnsi="仿宋_GB2312" w:eastAsia="仿宋_GB2312" w:cs="仿宋_GB2312"/>
                <w:bCs/>
                <w:sz w:val="22"/>
                <w:szCs w:val="22"/>
              </w:rPr>
            </w:pPr>
          </w:p>
        </w:tc>
        <w:tc>
          <w:tcPr>
            <w:tcW w:w="117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公众号名称</w:t>
            </w:r>
          </w:p>
        </w:tc>
        <w:tc>
          <w:tcPr>
            <w:tcW w:w="103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24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是否应用</w:t>
            </w:r>
          </w:p>
          <w:p>
            <w:pPr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辽宁终身学习网</w:t>
            </w:r>
          </w:p>
        </w:tc>
        <w:tc>
          <w:tcPr>
            <w:tcW w:w="11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9" w:hRule="atLeast"/>
        </w:trPr>
        <w:tc>
          <w:tcPr>
            <w:tcW w:w="395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仿宋_GB2312" w:hAnsi="仿宋_GB2312" w:eastAsia="仿宋_GB2312" w:cs="仿宋_GB2312"/>
                <w:bCs/>
                <w:sz w:val="22"/>
                <w:szCs w:val="22"/>
              </w:rPr>
            </w:pPr>
          </w:p>
        </w:tc>
        <w:tc>
          <w:tcPr>
            <w:tcW w:w="117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APP/小程序</w:t>
            </w:r>
          </w:p>
        </w:tc>
        <w:tc>
          <w:tcPr>
            <w:tcW w:w="103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24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是否应用</w:t>
            </w:r>
          </w:p>
          <w:p>
            <w:pPr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辽宁老年学习网</w:t>
            </w:r>
          </w:p>
        </w:tc>
        <w:tc>
          <w:tcPr>
            <w:tcW w:w="11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9" w:hRule="atLeast"/>
        </w:trPr>
        <w:tc>
          <w:tcPr>
            <w:tcW w:w="395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仿宋_GB2312" w:hAnsi="仿宋_GB2312" w:eastAsia="仿宋_GB2312" w:cs="仿宋_GB2312"/>
                <w:bCs/>
                <w:sz w:val="22"/>
                <w:szCs w:val="22"/>
              </w:rPr>
            </w:pPr>
          </w:p>
        </w:tc>
        <w:tc>
          <w:tcPr>
            <w:tcW w:w="117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快手/快手</w:t>
            </w:r>
          </w:p>
          <w:p>
            <w:pPr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帐号名称</w:t>
            </w:r>
          </w:p>
        </w:tc>
        <w:tc>
          <w:tcPr>
            <w:tcW w:w="103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24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是否应用</w:t>
            </w:r>
          </w:p>
          <w:p>
            <w:pPr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抖音“银龄学堂”</w:t>
            </w:r>
          </w:p>
        </w:tc>
        <w:tc>
          <w:tcPr>
            <w:tcW w:w="11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3" w:hRule="atLeast"/>
        </w:trPr>
        <w:tc>
          <w:tcPr>
            <w:tcW w:w="395" w:type="pct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仿宋_GB2312" w:hAnsi="仿宋_GB2312" w:eastAsia="仿宋_GB2312" w:cs="仿宋_GB2312"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2"/>
                <w:szCs w:val="22"/>
              </w:rPr>
              <w:t>工作绩效</w:t>
            </w:r>
          </w:p>
        </w:tc>
        <w:tc>
          <w:tcPr>
            <w:tcW w:w="117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在籍学员（人）</w:t>
            </w:r>
          </w:p>
        </w:tc>
        <w:tc>
          <w:tcPr>
            <w:tcW w:w="103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24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累计学员（人）</w:t>
            </w:r>
          </w:p>
        </w:tc>
        <w:tc>
          <w:tcPr>
            <w:tcW w:w="11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</w:trPr>
        <w:tc>
          <w:tcPr>
            <w:tcW w:w="395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仿宋_GB2312" w:hAnsi="仿宋_GB2312" w:eastAsia="仿宋_GB2312" w:cs="仿宋_GB2312"/>
                <w:bCs/>
                <w:sz w:val="22"/>
                <w:szCs w:val="22"/>
              </w:rPr>
            </w:pPr>
          </w:p>
        </w:tc>
        <w:tc>
          <w:tcPr>
            <w:tcW w:w="117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社区送课（次）</w:t>
            </w:r>
          </w:p>
        </w:tc>
        <w:tc>
          <w:tcPr>
            <w:tcW w:w="103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24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市级以上百姓学习之星（人）</w:t>
            </w:r>
          </w:p>
        </w:tc>
        <w:tc>
          <w:tcPr>
            <w:tcW w:w="11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9" w:hRule="atLeast"/>
        </w:trPr>
        <w:tc>
          <w:tcPr>
            <w:tcW w:w="395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仿宋_GB2312" w:hAnsi="仿宋_GB2312" w:eastAsia="仿宋_GB2312" w:cs="仿宋_GB2312"/>
                <w:bCs/>
                <w:sz w:val="22"/>
                <w:szCs w:val="22"/>
              </w:rPr>
            </w:pPr>
          </w:p>
        </w:tc>
        <w:tc>
          <w:tcPr>
            <w:tcW w:w="117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其他送课（次）</w:t>
            </w:r>
          </w:p>
        </w:tc>
        <w:tc>
          <w:tcPr>
            <w:tcW w:w="103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24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市级以上终身学习品牌项目（个）</w:t>
            </w:r>
          </w:p>
        </w:tc>
        <w:tc>
          <w:tcPr>
            <w:tcW w:w="11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9" w:hRule="atLeast"/>
        </w:trPr>
        <w:tc>
          <w:tcPr>
            <w:tcW w:w="395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仿宋_GB2312" w:hAnsi="仿宋_GB2312" w:eastAsia="仿宋_GB2312" w:cs="仿宋_GB2312"/>
                <w:bCs/>
                <w:sz w:val="22"/>
                <w:szCs w:val="22"/>
              </w:rPr>
            </w:pPr>
          </w:p>
        </w:tc>
        <w:tc>
          <w:tcPr>
            <w:tcW w:w="117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40" w:lineRule="exact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 xml:space="preserve">举办讲座（次） </w:t>
            </w:r>
          </w:p>
        </w:tc>
        <w:tc>
          <w:tcPr>
            <w:tcW w:w="103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40" w:lineRule="exact"/>
              <w:rPr>
                <w:rFonts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24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参加教育成果展（次）</w:t>
            </w:r>
          </w:p>
        </w:tc>
        <w:tc>
          <w:tcPr>
            <w:tcW w:w="11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540" w:lineRule="exact"/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9" w:hRule="atLeast"/>
        </w:trPr>
        <w:tc>
          <w:tcPr>
            <w:tcW w:w="395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仿宋_GB2312" w:hAnsi="仿宋_GB2312" w:eastAsia="仿宋_GB2312" w:cs="仿宋_GB2312"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2"/>
                <w:szCs w:val="22"/>
              </w:rPr>
              <w:t>获奖情况</w:t>
            </w:r>
          </w:p>
        </w:tc>
        <w:tc>
          <w:tcPr>
            <w:tcW w:w="117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市级及以上新闻媒体宣传报道（次）</w:t>
            </w:r>
          </w:p>
        </w:tc>
        <w:tc>
          <w:tcPr>
            <w:tcW w:w="103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24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获上级部门表彰（次）</w:t>
            </w:r>
          </w:p>
        </w:tc>
        <w:tc>
          <w:tcPr>
            <w:tcW w:w="11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45" w:hRule="atLeast"/>
        </w:trPr>
        <w:tc>
          <w:tcPr>
            <w:tcW w:w="395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仿宋_GB2312" w:hAnsi="仿宋_GB2312" w:eastAsia="仿宋_GB2312" w:cs="仿宋_GB2312"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2"/>
                <w:szCs w:val="22"/>
              </w:rPr>
              <w:t>工作总结</w:t>
            </w:r>
          </w:p>
        </w:tc>
        <w:tc>
          <w:tcPr>
            <w:tcW w:w="4604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40" w:lineRule="exact"/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9" w:hRule="atLeast"/>
        </w:trPr>
        <w:tc>
          <w:tcPr>
            <w:tcW w:w="1565" w:type="pct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4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申报单位联系人</w:t>
            </w:r>
          </w:p>
        </w:tc>
        <w:tc>
          <w:tcPr>
            <w:tcW w:w="166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4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联系人电话</w:t>
            </w:r>
          </w:p>
        </w:tc>
        <w:tc>
          <w:tcPr>
            <w:tcW w:w="176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540" w:lineRule="exact"/>
              <w:jc w:val="center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联系人电子邮箱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9" w:hRule="atLeast"/>
        </w:trPr>
        <w:tc>
          <w:tcPr>
            <w:tcW w:w="1565" w:type="pct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40" w:lineRule="exact"/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66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40" w:lineRule="exact"/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76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540" w:lineRule="exact"/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29" w:hRule="atLeast"/>
        </w:trPr>
        <w:tc>
          <w:tcPr>
            <w:tcW w:w="100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40" w:lineRule="exact"/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申报单位意见</w:t>
            </w:r>
          </w:p>
        </w:tc>
        <w:tc>
          <w:tcPr>
            <w:tcW w:w="3998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600" w:lineRule="auto"/>
              <w:jc w:val="right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（盖章）</w:t>
            </w:r>
          </w:p>
          <w:p>
            <w:pPr>
              <w:spacing w:line="600" w:lineRule="auto"/>
              <w:jc w:val="right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 xml:space="preserve">                             年     月    日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19" w:hRule="atLeast"/>
        </w:trPr>
        <w:tc>
          <w:tcPr>
            <w:tcW w:w="100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40" w:lineRule="exact"/>
              <w:jc w:val="left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推荐单位意见（直接报送单位无需填写）</w:t>
            </w:r>
          </w:p>
        </w:tc>
        <w:tc>
          <w:tcPr>
            <w:tcW w:w="3998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600" w:lineRule="auto"/>
              <w:jc w:val="right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（盖章）</w:t>
            </w:r>
          </w:p>
          <w:p>
            <w:pPr>
              <w:spacing w:line="600" w:lineRule="auto"/>
              <w:jc w:val="right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 xml:space="preserve">                             年     月    日</w:t>
            </w:r>
          </w:p>
        </w:tc>
      </w:tr>
    </w:tbl>
    <w:tbl>
      <w:tblPr>
        <w:tblStyle w:val="5"/>
        <w:tblpPr w:leftFromText="180" w:rightFromText="180" w:vertAnchor="text" w:tblpX="-1933" w:tblpY="-18888"/>
        <w:tblOverlap w:val="never"/>
        <w:tblW w:w="19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5000" w:type="pct"/>
          </w:tcPr>
          <w:p>
            <w:pPr>
              <w:spacing w:line="20" w:lineRule="exact"/>
              <w:rPr>
                <w:rFonts w:ascii="仿宋" w:hAnsi="仿宋" w:eastAsia="仿宋" w:cs="仿宋"/>
                <w:b/>
                <w:sz w:val="32"/>
                <w:szCs w:val="32"/>
              </w:rPr>
            </w:pPr>
          </w:p>
        </w:tc>
      </w:tr>
    </w:tbl>
    <w:p>
      <w:pPr>
        <w:spacing w:line="20" w:lineRule="exact"/>
        <w:rPr>
          <w:rFonts w:ascii="仿宋" w:hAnsi="仿宋" w:eastAsia="仿宋" w:cs="仿宋"/>
          <w:b/>
          <w:sz w:val="32"/>
          <w:szCs w:val="32"/>
        </w:rPr>
      </w:pPr>
    </w:p>
    <w:p>
      <w:pPr>
        <w:rPr>
          <w:rFonts w:hint="eastAsia"/>
        </w:rPr>
      </w:pPr>
    </w:p>
    <w:p>
      <w:pPr>
        <w:pStyle w:val="2"/>
      </w:pPr>
    </w:p>
    <w:p>
      <w:pPr>
        <w:rPr>
          <w:rFonts w:hint="eastAsia"/>
        </w:rPr>
      </w:pPr>
    </w:p>
    <w:p>
      <w:pPr>
        <w:shd w:val="clear" w:color="auto" w:fill="FFFFFF"/>
        <w:spacing w:line="62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：</w:t>
      </w:r>
      <w:r>
        <w:rPr>
          <w:rFonts w:hint="eastAsia" w:ascii="黑体" w:hAnsi="黑体" w:eastAsia="黑体" w:cs="黑体"/>
          <w:sz w:val="32"/>
          <w:szCs w:val="32"/>
        </w:rPr>
        <w:t>2</w:t>
      </w:r>
      <w:bookmarkEnd w:id="0"/>
    </w:p>
    <w:p>
      <w:pPr>
        <w:jc w:val="center"/>
        <w:rPr>
          <w:rFonts w:ascii="宋体" w:hAnsi="宋体" w:cs="宋体"/>
          <w:b/>
          <w:bCs/>
          <w:sz w:val="44"/>
          <w:szCs w:val="44"/>
        </w:rPr>
      </w:pPr>
      <w:r>
        <w:rPr>
          <w:rFonts w:hint="eastAsia" w:ascii="宋体" w:hAnsi="宋体" w:cs="宋体"/>
          <w:b/>
          <w:bCs/>
          <w:sz w:val="44"/>
          <w:szCs w:val="44"/>
        </w:rPr>
        <w:t>示范性老年大学、老年学校及</w:t>
      </w:r>
    </w:p>
    <w:p>
      <w:pPr>
        <w:jc w:val="center"/>
        <w:rPr>
          <w:rFonts w:ascii="宋体" w:hAnsi="宋体" w:cs="宋体"/>
          <w:b/>
          <w:bCs/>
          <w:sz w:val="44"/>
          <w:szCs w:val="44"/>
        </w:rPr>
      </w:pPr>
      <w:r>
        <w:rPr>
          <w:rFonts w:hint="eastAsia" w:ascii="宋体" w:hAnsi="宋体" w:cs="宋体"/>
          <w:b/>
          <w:bCs/>
          <w:sz w:val="44"/>
          <w:szCs w:val="44"/>
        </w:rPr>
        <w:t>老年学习中心创建申报汇总表</w:t>
      </w:r>
    </w:p>
    <w:p>
      <w:pPr>
        <w:jc w:val="left"/>
        <w:rPr>
          <w:rFonts w:ascii="宋体" w:hAnsi="宋体" w:cs="宋体"/>
          <w:sz w:val="30"/>
          <w:szCs w:val="30"/>
        </w:rPr>
      </w:pPr>
      <w:r>
        <w:rPr>
          <w:rFonts w:hint="eastAsia" w:ascii="宋体" w:hAnsi="宋体" w:cs="宋体"/>
          <w:sz w:val="30"/>
          <w:szCs w:val="30"/>
        </w:rPr>
        <w:t>辽宁老年大学</w:t>
      </w:r>
      <w:r>
        <w:rPr>
          <w:rFonts w:hint="eastAsia" w:ascii="宋体" w:hAnsi="宋体" w:cs="宋体"/>
          <w:sz w:val="30"/>
          <w:szCs w:val="30"/>
          <w:u w:val="single"/>
        </w:rPr>
        <w:t xml:space="preserve">        </w:t>
      </w:r>
      <w:r>
        <w:rPr>
          <w:rFonts w:hint="eastAsia" w:ascii="宋体" w:hAnsi="宋体" w:cs="宋体"/>
          <w:sz w:val="30"/>
          <w:szCs w:val="30"/>
        </w:rPr>
        <w:t>分部（社区教育指导中心） 盖章：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1"/>
        <w:gridCol w:w="1969"/>
        <w:gridCol w:w="1420"/>
        <w:gridCol w:w="1231"/>
        <w:gridCol w:w="1305"/>
        <w:gridCol w:w="17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  <w:r>
              <w:rPr>
                <w:rFonts w:hint="eastAsia" w:ascii="宋体" w:hAnsi="宋体" w:cs="宋体"/>
                <w:sz w:val="30"/>
                <w:szCs w:val="30"/>
              </w:rPr>
              <w:t>序号</w:t>
            </w:r>
          </w:p>
        </w:tc>
        <w:tc>
          <w:tcPr>
            <w:tcW w:w="1969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  <w:r>
              <w:rPr>
                <w:rFonts w:hint="eastAsia" w:ascii="宋体" w:hAnsi="宋体" w:cs="宋体"/>
                <w:sz w:val="30"/>
                <w:szCs w:val="30"/>
              </w:rPr>
              <w:t>申报单位</w:t>
            </w:r>
          </w:p>
        </w:tc>
        <w:tc>
          <w:tcPr>
            <w:tcW w:w="1420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  <w:r>
              <w:rPr>
                <w:rFonts w:hint="eastAsia" w:ascii="宋体" w:hAnsi="宋体" w:cs="宋体"/>
                <w:sz w:val="30"/>
                <w:szCs w:val="30"/>
              </w:rPr>
              <w:t>申报类型</w:t>
            </w:r>
          </w:p>
        </w:tc>
        <w:tc>
          <w:tcPr>
            <w:tcW w:w="1231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  <w:r>
              <w:rPr>
                <w:rFonts w:hint="eastAsia" w:ascii="宋体" w:hAnsi="宋体" w:cs="宋体"/>
                <w:sz w:val="30"/>
                <w:szCs w:val="30"/>
              </w:rPr>
              <w:t>负责人</w:t>
            </w:r>
          </w:p>
        </w:tc>
        <w:tc>
          <w:tcPr>
            <w:tcW w:w="1305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  <w:r>
              <w:rPr>
                <w:rFonts w:hint="eastAsia" w:ascii="宋体" w:hAnsi="宋体" w:cs="宋体"/>
                <w:sz w:val="30"/>
                <w:szCs w:val="30"/>
              </w:rPr>
              <w:t>职务</w:t>
            </w:r>
          </w:p>
        </w:tc>
        <w:tc>
          <w:tcPr>
            <w:tcW w:w="1726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  <w:r>
              <w:rPr>
                <w:rFonts w:hint="eastAsia" w:ascii="宋体" w:hAnsi="宋体" w:cs="宋体"/>
                <w:sz w:val="30"/>
                <w:szCs w:val="30"/>
              </w:rPr>
              <w:t>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  <w:tc>
          <w:tcPr>
            <w:tcW w:w="1969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  <w:tc>
          <w:tcPr>
            <w:tcW w:w="1420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  <w:tc>
          <w:tcPr>
            <w:tcW w:w="1231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  <w:tc>
          <w:tcPr>
            <w:tcW w:w="1305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  <w:tc>
          <w:tcPr>
            <w:tcW w:w="1726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  <w:tc>
          <w:tcPr>
            <w:tcW w:w="1969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  <w:tc>
          <w:tcPr>
            <w:tcW w:w="1420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  <w:tc>
          <w:tcPr>
            <w:tcW w:w="1231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  <w:tc>
          <w:tcPr>
            <w:tcW w:w="1305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  <w:tc>
          <w:tcPr>
            <w:tcW w:w="1726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  <w:tc>
          <w:tcPr>
            <w:tcW w:w="1969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  <w:tc>
          <w:tcPr>
            <w:tcW w:w="1420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  <w:tc>
          <w:tcPr>
            <w:tcW w:w="1231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  <w:tc>
          <w:tcPr>
            <w:tcW w:w="1305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  <w:tc>
          <w:tcPr>
            <w:tcW w:w="1726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  <w:tc>
          <w:tcPr>
            <w:tcW w:w="1969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  <w:tc>
          <w:tcPr>
            <w:tcW w:w="1420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  <w:tc>
          <w:tcPr>
            <w:tcW w:w="1231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  <w:tc>
          <w:tcPr>
            <w:tcW w:w="1305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  <w:tc>
          <w:tcPr>
            <w:tcW w:w="1726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  <w:tc>
          <w:tcPr>
            <w:tcW w:w="1969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  <w:tc>
          <w:tcPr>
            <w:tcW w:w="1420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  <w:tc>
          <w:tcPr>
            <w:tcW w:w="1231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  <w:tc>
          <w:tcPr>
            <w:tcW w:w="1305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  <w:tc>
          <w:tcPr>
            <w:tcW w:w="1726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  <w:tc>
          <w:tcPr>
            <w:tcW w:w="1969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  <w:tc>
          <w:tcPr>
            <w:tcW w:w="1420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  <w:tc>
          <w:tcPr>
            <w:tcW w:w="1231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  <w:tc>
          <w:tcPr>
            <w:tcW w:w="1305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  <w:tc>
          <w:tcPr>
            <w:tcW w:w="1726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  <w:tc>
          <w:tcPr>
            <w:tcW w:w="1969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  <w:tc>
          <w:tcPr>
            <w:tcW w:w="1420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  <w:tc>
          <w:tcPr>
            <w:tcW w:w="1231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  <w:tc>
          <w:tcPr>
            <w:tcW w:w="1305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  <w:tc>
          <w:tcPr>
            <w:tcW w:w="1726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  <w:tc>
          <w:tcPr>
            <w:tcW w:w="1969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  <w:tc>
          <w:tcPr>
            <w:tcW w:w="1420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  <w:tc>
          <w:tcPr>
            <w:tcW w:w="1231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  <w:tc>
          <w:tcPr>
            <w:tcW w:w="1305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  <w:tc>
          <w:tcPr>
            <w:tcW w:w="1726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  <w:tc>
          <w:tcPr>
            <w:tcW w:w="1969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  <w:tc>
          <w:tcPr>
            <w:tcW w:w="1420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  <w:tc>
          <w:tcPr>
            <w:tcW w:w="1231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  <w:tc>
          <w:tcPr>
            <w:tcW w:w="1305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  <w:tc>
          <w:tcPr>
            <w:tcW w:w="1726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  <w:tc>
          <w:tcPr>
            <w:tcW w:w="1969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  <w:tc>
          <w:tcPr>
            <w:tcW w:w="1420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  <w:tc>
          <w:tcPr>
            <w:tcW w:w="1231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  <w:tc>
          <w:tcPr>
            <w:tcW w:w="1305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  <w:tc>
          <w:tcPr>
            <w:tcW w:w="1726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  <w:tc>
          <w:tcPr>
            <w:tcW w:w="1969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  <w:tc>
          <w:tcPr>
            <w:tcW w:w="1420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  <w:tc>
          <w:tcPr>
            <w:tcW w:w="1231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  <w:tc>
          <w:tcPr>
            <w:tcW w:w="1305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  <w:tc>
          <w:tcPr>
            <w:tcW w:w="1726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  <w:tc>
          <w:tcPr>
            <w:tcW w:w="1969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  <w:tc>
          <w:tcPr>
            <w:tcW w:w="1420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  <w:tc>
          <w:tcPr>
            <w:tcW w:w="1231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  <w:tc>
          <w:tcPr>
            <w:tcW w:w="1305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  <w:tc>
          <w:tcPr>
            <w:tcW w:w="1726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  <w:tc>
          <w:tcPr>
            <w:tcW w:w="1969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  <w:tc>
          <w:tcPr>
            <w:tcW w:w="1420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  <w:tc>
          <w:tcPr>
            <w:tcW w:w="1231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  <w:tc>
          <w:tcPr>
            <w:tcW w:w="1305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  <w:tc>
          <w:tcPr>
            <w:tcW w:w="1726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  <w:tc>
          <w:tcPr>
            <w:tcW w:w="1969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  <w:tc>
          <w:tcPr>
            <w:tcW w:w="1420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  <w:tc>
          <w:tcPr>
            <w:tcW w:w="1231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  <w:tc>
          <w:tcPr>
            <w:tcW w:w="1305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  <w:tc>
          <w:tcPr>
            <w:tcW w:w="1726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  <w:tc>
          <w:tcPr>
            <w:tcW w:w="1969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  <w:tc>
          <w:tcPr>
            <w:tcW w:w="1420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  <w:tc>
          <w:tcPr>
            <w:tcW w:w="1231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  <w:tc>
          <w:tcPr>
            <w:tcW w:w="1305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  <w:tc>
          <w:tcPr>
            <w:tcW w:w="1726" w:type="dxa"/>
          </w:tcPr>
          <w:p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</w:p>
        </w:tc>
      </w:tr>
    </w:tbl>
    <w:p>
      <w:pPr>
        <w:jc w:val="center"/>
        <w:rPr>
          <w:rFonts w:ascii="宋体" w:hAnsi="宋体" w:cs="宋体"/>
          <w:sz w:val="30"/>
          <w:szCs w:val="30"/>
        </w:rPr>
      </w:pPr>
    </w:p>
    <w:p>
      <w:pPr>
        <w:jc w:val="center"/>
        <w:rPr>
          <w:rFonts w:ascii="宋体" w:hAnsi="宋体" w:cs="宋体"/>
          <w:sz w:val="30"/>
          <w:szCs w:val="30"/>
        </w:rPr>
      </w:pPr>
      <w:r>
        <w:rPr>
          <w:rFonts w:hint="eastAsia" w:ascii="宋体" w:hAnsi="宋体" w:cs="宋体"/>
          <w:sz w:val="30"/>
          <w:szCs w:val="30"/>
        </w:rPr>
        <w:tab/>
      </w:r>
      <w:r>
        <w:rPr>
          <w:rFonts w:hint="eastAsia" w:ascii="宋体" w:hAnsi="宋体" w:cs="宋体"/>
          <w:sz w:val="30"/>
          <w:szCs w:val="30"/>
        </w:rPr>
        <w:tab/>
      </w:r>
      <w:r>
        <w:rPr>
          <w:rFonts w:hint="eastAsia" w:ascii="宋体" w:hAnsi="宋体" w:cs="宋体"/>
          <w:sz w:val="30"/>
          <w:szCs w:val="30"/>
        </w:rPr>
        <w:tab/>
      </w:r>
      <w:r>
        <w:rPr>
          <w:rFonts w:hint="eastAsia" w:ascii="宋体" w:hAnsi="宋体" w:cs="宋体"/>
          <w:sz w:val="30"/>
          <w:szCs w:val="30"/>
        </w:rPr>
        <w:tab/>
      </w:r>
      <w:r>
        <w:rPr>
          <w:rFonts w:hint="eastAsia" w:ascii="宋体" w:hAnsi="宋体" w:cs="宋体"/>
          <w:sz w:val="30"/>
          <w:szCs w:val="30"/>
        </w:rPr>
        <w:tab/>
      </w:r>
      <w:r>
        <w:rPr>
          <w:rFonts w:hint="eastAsia" w:ascii="宋体" w:hAnsi="宋体" w:cs="宋体"/>
          <w:sz w:val="30"/>
          <w:szCs w:val="30"/>
        </w:rPr>
        <w:tab/>
      </w:r>
      <w:r>
        <w:rPr>
          <w:rFonts w:hint="eastAsia" w:ascii="宋体" w:hAnsi="宋体" w:cs="宋体"/>
          <w:sz w:val="30"/>
          <w:szCs w:val="30"/>
        </w:rPr>
        <w:tab/>
      </w:r>
      <w:r>
        <w:rPr>
          <w:rFonts w:hint="eastAsia" w:ascii="宋体" w:hAnsi="宋体" w:cs="宋体"/>
          <w:sz w:val="30"/>
          <w:szCs w:val="30"/>
        </w:rPr>
        <w:tab/>
      </w:r>
    </w:p>
    <w:p>
      <w:pPr>
        <w:shd w:val="clear" w:color="auto" w:fill="FFFFFF"/>
        <w:spacing w:line="62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：</w:t>
      </w:r>
      <w:r>
        <w:rPr>
          <w:rFonts w:hint="eastAsia" w:ascii="黑体" w:hAnsi="黑体" w:eastAsia="黑体" w:cs="黑体"/>
          <w:sz w:val="32"/>
          <w:szCs w:val="32"/>
        </w:rPr>
        <w:t>3</w:t>
      </w:r>
    </w:p>
    <w:p>
      <w:pPr>
        <w:pStyle w:val="3"/>
        <w:widowControl/>
        <w:spacing w:before="0" w:beforeAutospacing="0" w:after="0" w:afterAutospacing="0" w:line="500" w:lineRule="exact"/>
        <w:jc w:val="center"/>
        <w:rPr>
          <w:rFonts w:ascii="宋体" w:hAnsi="宋体" w:cs="宋体"/>
          <w:b/>
          <w:bCs/>
          <w:sz w:val="44"/>
          <w:szCs w:val="44"/>
        </w:rPr>
      </w:pPr>
      <w:r>
        <w:rPr>
          <w:rFonts w:hint="eastAsia" w:ascii="宋体" w:hAnsi="宋体" w:cs="宋体"/>
          <w:b/>
          <w:bCs/>
          <w:sz w:val="44"/>
          <w:szCs w:val="44"/>
        </w:rPr>
        <w:t>示范性老年大学评审指标</w:t>
      </w:r>
    </w:p>
    <w:tbl>
      <w:tblPr>
        <w:tblStyle w:val="4"/>
        <w:tblW w:w="9671" w:type="dxa"/>
        <w:tblInd w:w="-568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64"/>
        <w:gridCol w:w="1847"/>
        <w:gridCol w:w="6300"/>
        <w:gridCol w:w="660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70" w:hRule="atLeast"/>
        </w:trPr>
        <w:tc>
          <w:tcPr>
            <w:tcW w:w="86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一级指标</w:t>
            </w:r>
          </w:p>
        </w:tc>
        <w:tc>
          <w:tcPr>
            <w:tcW w:w="18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二级指标</w:t>
            </w:r>
          </w:p>
        </w:tc>
        <w:tc>
          <w:tcPr>
            <w:tcW w:w="63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三级指标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分值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8" w:hRule="atLeast"/>
        </w:trPr>
        <w:tc>
          <w:tcPr>
            <w:tcW w:w="864" w:type="dxa"/>
            <w:vMerge w:val="restar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组</w:t>
            </w:r>
          </w:p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织</w:t>
            </w:r>
          </w:p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管</w:t>
            </w:r>
          </w:p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理</w:t>
            </w:r>
          </w:p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 xml:space="preserve">15 </w:t>
            </w:r>
          </w:p>
        </w:tc>
        <w:tc>
          <w:tcPr>
            <w:tcW w:w="18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管理体制</w:t>
            </w:r>
          </w:p>
        </w:tc>
        <w:tc>
          <w:tcPr>
            <w:tcW w:w="63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建有党委领导、政府统筹、教育部门主管、有关部门配合、符合新时代老年教育工作要求的组织机构，将老年教育和办学机构建设纳入当地教育事业发展规划。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3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2" w:hRule="atLeast"/>
        </w:trPr>
        <w:tc>
          <w:tcPr>
            <w:tcW w:w="864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847" w:type="dxa"/>
            <w:vMerge w:val="restar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运行机制</w:t>
            </w:r>
          </w:p>
        </w:tc>
        <w:tc>
          <w:tcPr>
            <w:tcW w:w="63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1.贯彻落实上级部门老年教育工作部署，参与编制本地区老年教育发展规划、年度计划。</w:t>
            </w:r>
          </w:p>
        </w:tc>
        <w:tc>
          <w:tcPr>
            <w:tcW w:w="660" w:type="dxa"/>
            <w:tcBorders>
              <w:bottom w:val="single" w:color="auto" w:sz="4" w:space="0"/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3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85" w:hRule="atLeast"/>
        </w:trPr>
        <w:tc>
          <w:tcPr>
            <w:tcW w:w="864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847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63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2.发挥本地区老年教育龙头作用，内设老年教育工作部门，负责区域课程开发、业务指导、教育示范和理论研究。</w:t>
            </w:r>
          </w:p>
        </w:tc>
        <w:tc>
          <w:tcPr>
            <w:tcW w:w="660" w:type="dxa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2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864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847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63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3.指导乡镇（街道）老年学校、村（社区）学习中心老年教育、培训和活动。</w:t>
            </w:r>
          </w:p>
        </w:tc>
        <w:tc>
          <w:tcPr>
            <w:tcW w:w="660" w:type="dxa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3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8" w:hRule="atLeast"/>
        </w:trPr>
        <w:tc>
          <w:tcPr>
            <w:tcW w:w="864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rPr>
                <w:rFonts w:ascii="仿宋_GB2312" w:eastAsia="仿宋_GB2312"/>
                <w:sz w:val="24"/>
              </w:rPr>
            </w:pPr>
          </w:p>
        </w:tc>
        <w:tc>
          <w:tcPr>
            <w:tcW w:w="18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制度建设</w:t>
            </w:r>
          </w:p>
        </w:tc>
        <w:tc>
          <w:tcPr>
            <w:tcW w:w="63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制定招生、教学管理、学员管理、财务管理、档案管理、安全管理等各项制度。</w:t>
            </w:r>
          </w:p>
        </w:tc>
        <w:tc>
          <w:tcPr>
            <w:tcW w:w="660" w:type="dxa"/>
            <w:tcBorders>
              <w:top w:val="single" w:color="auto" w:sz="4" w:space="0"/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4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6" w:hRule="atLeast"/>
        </w:trPr>
        <w:tc>
          <w:tcPr>
            <w:tcW w:w="864" w:type="dxa"/>
            <w:vMerge w:val="restar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办</w:t>
            </w:r>
          </w:p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学</w:t>
            </w:r>
          </w:p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条</w:t>
            </w:r>
          </w:p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件</w:t>
            </w:r>
          </w:p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 xml:space="preserve">30 </w:t>
            </w:r>
          </w:p>
        </w:tc>
        <w:tc>
          <w:tcPr>
            <w:tcW w:w="1847" w:type="dxa"/>
            <w:vMerge w:val="restar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办学场所</w:t>
            </w:r>
          </w:p>
        </w:tc>
        <w:tc>
          <w:tcPr>
            <w:tcW w:w="63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1.老年大学建筑面积原则上不少于2000平方米。依托其他单位办学，可使用（或共用）面积原则上不少于</w:t>
            </w:r>
            <w:r>
              <w:rPr>
                <w:rFonts w:ascii="仿宋_GB2312" w:eastAsia="仿宋_GB2312"/>
                <w:sz w:val="24"/>
              </w:rPr>
              <w:t>1000</w:t>
            </w:r>
            <w:r>
              <w:rPr>
                <w:rFonts w:hint="eastAsia" w:ascii="仿宋_GB2312" w:eastAsia="仿宋_GB2312"/>
                <w:sz w:val="24"/>
              </w:rPr>
              <w:t>平方米。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5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8" w:hRule="atLeast"/>
        </w:trPr>
        <w:tc>
          <w:tcPr>
            <w:tcW w:w="864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847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63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2.配置能满足基本需求的功能室和教室10个以上，图书阅览室不少于1个，数字化学习教室不少于1个。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5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</w:trPr>
        <w:tc>
          <w:tcPr>
            <w:tcW w:w="864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847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63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3.建有5个以上的校外老年教育基地。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5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8" w:hRule="atLeast"/>
        </w:trPr>
        <w:tc>
          <w:tcPr>
            <w:tcW w:w="864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847" w:type="dxa"/>
            <w:vMerge w:val="restar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 xml:space="preserve"> 队伍建设</w:t>
            </w:r>
          </w:p>
        </w:tc>
        <w:tc>
          <w:tcPr>
            <w:tcW w:w="63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1.专职管理人员8人以上、专职专业教师（文化类、艺术类、生活类）8人以上，有满足教学需要的兼职教师和志愿者队伍。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5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50" w:hRule="atLeast"/>
        </w:trPr>
        <w:tc>
          <w:tcPr>
            <w:tcW w:w="864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847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63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2.建立地区专、兼职教师库和志愿者库，开展素质能力培训，每年组织及参加各类培训不低于4次。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4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12" w:hRule="atLeast"/>
        </w:trPr>
        <w:tc>
          <w:tcPr>
            <w:tcW w:w="864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847" w:type="dxa"/>
            <w:vMerge w:val="restar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 xml:space="preserve"> 经费保障</w:t>
            </w:r>
          </w:p>
        </w:tc>
        <w:tc>
          <w:tcPr>
            <w:tcW w:w="63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1.有稳定的经费投入，城市地区原则上按常驻人口年人均不低于2元标准，农村地区原则上按常驻人口年人均不低于1元标准。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3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6" w:hRule="atLeast"/>
        </w:trPr>
        <w:tc>
          <w:tcPr>
            <w:tcW w:w="864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847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63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2.制定老年教育资金管理使用办法。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3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</w:trPr>
        <w:tc>
          <w:tcPr>
            <w:tcW w:w="864" w:type="dxa"/>
            <w:vMerge w:val="restar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教</w:t>
            </w:r>
          </w:p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育</w:t>
            </w:r>
          </w:p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教</w:t>
            </w:r>
          </w:p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学</w:t>
            </w:r>
          </w:p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 xml:space="preserve">30 </w:t>
            </w:r>
          </w:p>
        </w:tc>
        <w:tc>
          <w:tcPr>
            <w:tcW w:w="18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办学理念</w:t>
            </w:r>
          </w:p>
        </w:tc>
        <w:tc>
          <w:tcPr>
            <w:tcW w:w="63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坚持公益普惠办学原则，服务老年人厚德修身、终身学习、主动健康、乐享生活、积极作为。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3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</w:trPr>
        <w:tc>
          <w:tcPr>
            <w:tcW w:w="864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847" w:type="dxa"/>
            <w:vMerge w:val="restar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</w:p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</w:p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教学培训</w:t>
            </w:r>
          </w:p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 xml:space="preserve"> </w:t>
            </w:r>
          </w:p>
        </w:tc>
        <w:tc>
          <w:tcPr>
            <w:tcW w:w="63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1.组织开展适合老年人特点的教育培训，为老年人创造良好的学习条件</w:t>
            </w:r>
            <w:r>
              <w:rPr>
                <w:rFonts w:hint="eastAsia" w:ascii="仿宋_GB2312" w:eastAsia="仿宋_GB2312"/>
                <w:sz w:val="24"/>
                <w:lang w:eastAsia="zh-CN"/>
              </w:rPr>
              <w:t>，</w:t>
            </w:r>
            <w:r>
              <w:rPr>
                <w:rFonts w:hint="eastAsia" w:ascii="仿宋_GB2312" w:eastAsia="仿宋_GB2312"/>
                <w:sz w:val="24"/>
              </w:rPr>
              <w:t>提供丰富的学习内容。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5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" w:hRule="atLeast"/>
        </w:trPr>
        <w:tc>
          <w:tcPr>
            <w:tcW w:w="864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847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63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2.开发具有区域特色的老年教育课程，编制适合老年人需求的教材、读本和数字化课程等，开设课程门类不低于10门。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5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25" w:hRule="atLeast"/>
        </w:trPr>
        <w:tc>
          <w:tcPr>
            <w:tcW w:w="864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847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63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rPr>
                <w:rFonts w:ascii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3.积极组织开展或参与“全民终身学习活动周”，组织开展学习团队培育、百姓学习之星、教育活动品牌等评选。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5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0" w:hRule="atLeast"/>
        </w:trPr>
        <w:tc>
          <w:tcPr>
            <w:tcW w:w="864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rPr>
                <w:rFonts w:ascii="仿宋_GB2312" w:eastAsia="仿宋_GB2312"/>
                <w:sz w:val="24"/>
              </w:rPr>
            </w:pPr>
          </w:p>
        </w:tc>
        <w:tc>
          <w:tcPr>
            <w:tcW w:w="1847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63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4.有对基层教学制度、教学内容、教学过程评价文件并定期督导。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5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15" w:hRule="atLeast"/>
        </w:trPr>
        <w:tc>
          <w:tcPr>
            <w:tcW w:w="864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rPr>
                <w:rFonts w:ascii="仿宋_GB2312" w:eastAsia="仿宋_GB2312"/>
                <w:sz w:val="24"/>
              </w:rPr>
            </w:pPr>
          </w:p>
        </w:tc>
        <w:tc>
          <w:tcPr>
            <w:tcW w:w="1847" w:type="dxa"/>
            <w:vMerge w:val="restar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 xml:space="preserve"> 数字化学习</w:t>
            </w:r>
          </w:p>
        </w:tc>
        <w:tc>
          <w:tcPr>
            <w:tcW w:w="63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1.拓展“有线电视课堂”“互联网课堂”“抖音银龄学堂”“银龄广播学堂”等空中课堂，组织县域内老年人在“辽宁终身学习网”、辽宁有线电视“老年大学专区”及市县平台上进行数字化课程学习和交流活动，提升老年学员数字化学习技能。平台注册人数原则上不低于常驻老年人口的30%。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4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0" w:hRule="atLeast"/>
        </w:trPr>
        <w:tc>
          <w:tcPr>
            <w:tcW w:w="864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rPr>
                <w:rFonts w:ascii="仿宋_GB2312" w:eastAsia="仿宋_GB2312"/>
                <w:sz w:val="24"/>
              </w:rPr>
            </w:pPr>
          </w:p>
        </w:tc>
        <w:tc>
          <w:tcPr>
            <w:tcW w:w="1847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rPr>
                <w:rFonts w:ascii="仿宋_GB2312" w:eastAsia="仿宋_GB2312"/>
                <w:sz w:val="24"/>
              </w:rPr>
            </w:pPr>
          </w:p>
        </w:tc>
        <w:tc>
          <w:tcPr>
            <w:tcW w:w="63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2.</w:t>
            </w:r>
            <w:r>
              <w:rPr>
                <w:rFonts w:ascii="仿宋_GB2312" w:eastAsia="仿宋_GB2312"/>
                <w:sz w:val="24"/>
              </w:rPr>
              <w:t>组织学员建立在线学习群，开展线上教育教学活动</w:t>
            </w:r>
            <w:r>
              <w:rPr>
                <w:rFonts w:hint="eastAsia" w:ascii="仿宋_GB2312" w:eastAsia="仿宋_GB2312"/>
                <w:sz w:val="24"/>
              </w:rPr>
              <w:t>。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3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65" w:hRule="atLeast"/>
        </w:trPr>
        <w:tc>
          <w:tcPr>
            <w:tcW w:w="864" w:type="dxa"/>
            <w:vMerge w:val="restar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</w:p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办</w:t>
            </w:r>
          </w:p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学</w:t>
            </w:r>
          </w:p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效</w:t>
            </w:r>
          </w:p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果</w:t>
            </w:r>
          </w:p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 xml:space="preserve">25 </w:t>
            </w:r>
          </w:p>
        </w:tc>
        <w:tc>
          <w:tcPr>
            <w:tcW w:w="18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办学规模</w:t>
            </w:r>
          </w:p>
        </w:tc>
        <w:tc>
          <w:tcPr>
            <w:tcW w:w="63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在籍学员1000人次以上；有完整且规范的学籍档案和学员管理档案。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5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8" w:hRule="atLeast"/>
        </w:trPr>
        <w:tc>
          <w:tcPr>
            <w:tcW w:w="864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847" w:type="dxa"/>
            <w:vMerge w:val="restar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特色品牌</w:t>
            </w:r>
          </w:p>
        </w:tc>
        <w:tc>
          <w:tcPr>
            <w:tcW w:w="63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1.获市级以上百姓学习之星、终身学习品牌项目、智慧助老、能者为师等奖项。</w:t>
            </w:r>
          </w:p>
        </w:tc>
        <w:tc>
          <w:tcPr>
            <w:tcW w:w="660" w:type="dxa"/>
            <w:tcBorders>
              <w:bottom w:val="single" w:color="auto" w:sz="4" w:space="0"/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5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40" w:hRule="atLeast"/>
        </w:trPr>
        <w:tc>
          <w:tcPr>
            <w:tcW w:w="864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847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63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2.近两年至少承担一个市级以上老年教育理论或实践创新项目研究。</w:t>
            </w:r>
          </w:p>
        </w:tc>
        <w:tc>
          <w:tcPr>
            <w:tcW w:w="660" w:type="dxa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3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5" w:hRule="atLeast"/>
        </w:trPr>
        <w:tc>
          <w:tcPr>
            <w:tcW w:w="864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847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63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3.培育具有地域特色的学习型组织，开展非物质文化遗产和中华优秀传统文化传承等活动，形成特色品牌。</w:t>
            </w:r>
          </w:p>
        </w:tc>
        <w:tc>
          <w:tcPr>
            <w:tcW w:w="660" w:type="dxa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4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864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847" w:type="dxa"/>
            <w:vMerge w:val="restar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 xml:space="preserve"> </w:t>
            </w:r>
          </w:p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 xml:space="preserve"> 社会影响</w:t>
            </w:r>
          </w:p>
        </w:tc>
        <w:tc>
          <w:tcPr>
            <w:tcW w:w="63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1.形成市级及以上的老年教育品牌或形成成熟的老年教育发展模式。在各级媒体宣传老年教育典型案例、分享、推介工作经验。</w:t>
            </w:r>
          </w:p>
        </w:tc>
        <w:tc>
          <w:tcPr>
            <w:tcW w:w="660" w:type="dxa"/>
            <w:tcBorders>
              <w:top w:val="single" w:color="auto" w:sz="4" w:space="0"/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4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8" w:hRule="atLeast"/>
        </w:trPr>
        <w:tc>
          <w:tcPr>
            <w:tcW w:w="864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847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63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2.大力营造浓厚的宣传氛围，老年教育受到市民的广泛赞誉和好评，老年教育满意度逐年提高。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4</w:t>
            </w:r>
          </w:p>
        </w:tc>
      </w:tr>
    </w:tbl>
    <w:p/>
    <w:p>
      <w:pPr>
        <w:widowControl/>
        <w:spacing w:line="368" w:lineRule="atLeast"/>
        <w:ind w:firstLine="634"/>
        <w:jc w:val="left"/>
        <w:rPr>
          <w:rFonts w:ascii="宋体" w:hAnsi="宋体" w:cs="宋体"/>
          <w:kern w:val="0"/>
          <w:sz w:val="44"/>
          <w:szCs w:val="44"/>
        </w:rPr>
      </w:pPr>
      <w:r>
        <w:rPr>
          <w:rFonts w:hint="eastAsia" w:ascii="方正小标宋简体" w:hAnsi="微软雅黑" w:eastAsia="方正小标宋简体" w:cs="宋体"/>
          <w:kern w:val="0"/>
          <w:sz w:val="44"/>
          <w:szCs w:val="44"/>
        </w:rPr>
        <w:br w:type="page"/>
      </w:r>
    </w:p>
    <w:p>
      <w:pPr>
        <w:shd w:val="clear" w:color="auto" w:fill="FFFFFF"/>
        <w:spacing w:line="62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：</w:t>
      </w:r>
      <w:r>
        <w:rPr>
          <w:rFonts w:hint="eastAsia" w:ascii="黑体" w:hAnsi="黑体" w:eastAsia="黑体" w:cs="黑体"/>
          <w:sz w:val="32"/>
          <w:szCs w:val="32"/>
        </w:rPr>
        <w:t>4</w:t>
      </w:r>
    </w:p>
    <w:p>
      <w:pPr>
        <w:pStyle w:val="3"/>
        <w:widowControl/>
        <w:spacing w:before="0" w:beforeAutospacing="0" w:after="0" w:afterAutospacing="0" w:line="500" w:lineRule="exact"/>
        <w:jc w:val="center"/>
        <w:rPr>
          <w:rFonts w:ascii="宋体" w:hAnsi="宋体" w:cs="宋体"/>
          <w:b/>
          <w:bCs/>
          <w:sz w:val="44"/>
          <w:szCs w:val="44"/>
        </w:rPr>
      </w:pPr>
      <w:r>
        <w:rPr>
          <w:rFonts w:hint="eastAsia" w:ascii="宋体" w:hAnsi="宋体" w:cs="宋体"/>
          <w:b/>
          <w:bCs/>
          <w:sz w:val="44"/>
          <w:szCs w:val="44"/>
        </w:rPr>
        <w:t>示范性老年学校评审指标</w:t>
      </w:r>
    </w:p>
    <w:tbl>
      <w:tblPr>
        <w:tblStyle w:val="4"/>
        <w:tblW w:w="9671" w:type="dxa"/>
        <w:tblInd w:w="-568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64"/>
        <w:gridCol w:w="1847"/>
        <w:gridCol w:w="6300"/>
        <w:gridCol w:w="660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65" w:hRule="atLeast"/>
        </w:trPr>
        <w:tc>
          <w:tcPr>
            <w:tcW w:w="86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一级指标</w:t>
            </w:r>
          </w:p>
        </w:tc>
        <w:tc>
          <w:tcPr>
            <w:tcW w:w="18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二级指标</w:t>
            </w:r>
          </w:p>
        </w:tc>
        <w:tc>
          <w:tcPr>
            <w:tcW w:w="63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三级指标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分值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8" w:hRule="atLeast"/>
        </w:trPr>
        <w:tc>
          <w:tcPr>
            <w:tcW w:w="864" w:type="dxa"/>
            <w:vMerge w:val="restar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组</w:t>
            </w:r>
          </w:p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织</w:t>
            </w:r>
          </w:p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管</w:t>
            </w:r>
          </w:p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理</w:t>
            </w:r>
          </w:p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 xml:space="preserve">15 </w:t>
            </w:r>
          </w:p>
        </w:tc>
        <w:tc>
          <w:tcPr>
            <w:tcW w:w="18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管理体制</w:t>
            </w:r>
          </w:p>
        </w:tc>
        <w:tc>
          <w:tcPr>
            <w:tcW w:w="63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将老年教育纳入当地乡镇（街道）政府经济和社会发展规划。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3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2" w:hRule="atLeast"/>
        </w:trPr>
        <w:tc>
          <w:tcPr>
            <w:tcW w:w="864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847" w:type="dxa"/>
            <w:vMerge w:val="restar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运行机制</w:t>
            </w:r>
          </w:p>
        </w:tc>
        <w:tc>
          <w:tcPr>
            <w:tcW w:w="63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1.贯彻落实上级部门老年教育工作部署，编制老年教育年度工作计划。</w:t>
            </w:r>
          </w:p>
        </w:tc>
        <w:tc>
          <w:tcPr>
            <w:tcW w:w="660" w:type="dxa"/>
            <w:tcBorders>
              <w:bottom w:val="single" w:color="auto" w:sz="4" w:space="0"/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3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0" w:hRule="atLeast"/>
        </w:trPr>
        <w:tc>
          <w:tcPr>
            <w:tcW w:w="864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847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63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2.设有老年教育工作部门，有具体负责人，组织实施老年教育活动，管理日常工作。</w:t>
            </w:r>
          </w:p>
        </w:tc>
        <w:tc>
          <w:tcPr>
            <w:tcW w:w="660" w:type="dxa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3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864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847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63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3.指导村（社区）学习中心老年教育、培训和活动。</w:t>
            </w:r>
          </w:p>
        </w:tc>
        <w:tc>
          <w:tcPr>
            <w:tcW w:w="660" w:type="dxa"/>
            <w:tcBorders>
              <w:top w:val="single" w:color="auto" w:sz="4" w:space="0"/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3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8" w:hRule="atLeast"/>
        </w:trPr>
        <w:tc>
          <w:tcPr>
            <w:tcW w:w="864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rPr>
                <w:rFonts w:ascii="仿宋_GB2312" w:eastAsia="仿宋_GB2312"/>
                <w:sz w:val="24"/>
              </w:rPr>
            </w:pPr>
          </w:p>
        </w:tc>
        <w:tc>
          <w:tcPr>
            <w:tcW w:w="18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制度建设</w:t>
            </w:r>
          </w:p>
        </w:tc>
        <w:tc>
          <w:tcPr>
            <w:tcW w:w="63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制定老年教育招生、教学管理、学员管理、财务管理、档案管理、安全管理等各项制度。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3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6" w:hRule="atLeast"/>
        </w:trPr>
        <w:tc>
          <w:tcPr>
            <w:tcW w:w="864" w:type="dxa"/>
            <w:vMerge w:val="restar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办</w:t>
            </w:r>
          </w:p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学</w:t>
            </w:r>
          </w:p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条</w:t>
            </w:r>
          </w:p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件</w:t>
            </w:r>
          </w:p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 xml:space="preserve">30 </w:t>
            </w:r>
          </w:p>
        </w:tc>
        <w:tc>
          <w:tcPr>
            <w:tcW w:w="1847" w:type="dxa"/>
            <w:vMerge w:val="restar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办学场所</w:t>
            </w:r>
          </w:p>
        </w:tc>
        <w:tc>
          <w:tcPr>
            <w:tcW w:w="63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1.用于老年教育教学培训的建筑面积原则上不少于300平方米。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5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8" w:hRule="atLeast"/>
        </w:trPr>
        <w:tc>
          <w:tcPr>
            <w:tcW w:w="864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847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63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2.配置能满足基本需求的办公室和教室5个以上，图书阅览室不少于1个，数字化学习教室不少于1个。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6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</w:trPr>
        <w:tc>
          <w:tcPr>
            <w:tcW w:w="864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847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63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3.建有2个以上的校外老年教育基地。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5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8" w:hRule="atLeast"/>
        </w:trPr>
        <w:tc>
          <w:tcPr>
            <w:tcW w:w="864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847" w:type="dxa"/>
            <w:vMerge w:val="restar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 xml:space="preserve"> 队伍建设</w:t>
            </w:r>
          </w:p>
        </w:tc>
        <w:tc>
          <w:tcPr>
            <w:tcW w:w="63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1.专、兼职管理人员3人以上，有满足教学需要的专、兼职教师和志愿者队伍。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8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25" w:hRule="atLeast"/>
        </w:trPr>
        <w:tc>
          <w:tcPr>
            <w:tcW w:w="864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847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63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2.组织老年教育教师、志愿者参加培训，每年组织及参加各类培训年不低于4次。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6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</w:trPr>
        <w:tc>
          <w:tcPr>
            <w:tcW w:w="864" w:type="dxa"/>
            <w:vMerge w:val="restar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教</w:t>
            </w:r>
          </w:p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育</w:t>
            </w:r>
          </w:p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教</w:t>
            </w:r>
          </w:p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学</w:t>
            </w:r>
          </w:p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35</w:t>
            </w:r>
          </w:p>
        </w:tc>
        <w:tc>
          <w:tcPr>
            <w:tcW w:w="18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办学理念</w:t>
            </w:r>
          </w:p>
        </w:tc>
        <w:tc>
          <w:tcPr>
            <w:tcW w:w="63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坚持公益普惠办学原则，服务老年人厚德修身、终身学习、主动健康、乐享生活、积极作为。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5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</w:trPr>
        <w:tc>
          <w:tcPr>
            <w:tcW w:w="864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847" w:type="dxa"/>
            <w:vMerge w:val="restar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</w:p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</w:p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教学培训</w:t>
            </w:r>
          </w:p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 xml:space="preserve"> </w:t>
            </w:r>
          </w:p>
        </w:tc>
        <w:tc>
          <w:tcPr>
            <w:tcW w:w="63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1.组织开展适合老年人特点的教育培训，为老年人创造良好的学习条件</w:t>
            </w:r>
            <w:r>
              <w:rPr>
                <w:rFonts w:hint="eastAsia" w:ascii="仿宋_GB2312" w:eastAsia="仿宋_GB2312"/>
                <w:sz w:val="24"/>
                <w:lang w:eastAsia="zh-CN"/>
              </w:rPr>
              <w:t>，</w:t>
            </w:r>
            <w:r>
              <w:rPr>
                <w:rFonts w:hint="eastAsia" w:ascii="仿宋_GB2312" w:eastAsia="仿宋_GB2312"/>
                <w:sz w:val="24"/>
              </w:rPr>
              <w:t>提供良好的学习内容。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5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" w:hRule="atLeast"/>
        </w:trPr>
        <w:tc>
          <w:tcPr>
            <w:tcW w:w="864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847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63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2.开设课程种类不低于5门。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5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</w:trPr>
        <w:tc>
          <w:tcPr>
            <w:tcW w:w="864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847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63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rPr>
                <w:rFonts w:ascii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3.积极组织开展和参与“全民终身学习活动周”，组织开展学习团队培育、百姓学习之星、社区教育活动品牌等评选。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5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0" w:hRule="atLeast"/>
        </w:trPr>
        <w:tc>
          <w:tcPr>
            <w:tcW w:w="864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rPr>
                <w:rFonts w:ascii="仿宋_GB2312" w:eastAsia="仿宋_GB2312"/>
                <w:sz w:val="24"/>
              </w:rPr>
            </w:pPr>
          </w:p>
        </w:tc>
        <w:tc>
          <w:tcPr>
            <w:tcW w:w="1847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63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4.有对基层教学制度、教学内容、教学过程评价文件并定期督导。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5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65" w:hRule="atLeast"/>
        </w:trPr>
        <w:tc>
          <w:tcPr>
            <w:tcW w:w="864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rPr>
                <w:rFonts w:ascii="仿宋_GB2312" w:eastAsia="仿宋_GB2312"/>
                <w:sz w:val="24"/>
              </w:rPr>
            </w:pPr>
          </w:p>
        </w:tc>
        <w:tc>
          <w:tcPr>
            <w:tcW w:w="1847" w:type="dxa"/>
            <w:vMerge w:val="restar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 xml:space="preserve"> 数字化学习</w:t>
            </w:r>
          </w:p>
        </w:tc>
        <w:tc>
          <w:tcPr>
            <w:tcW w:w="63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1.拓展“有线电视课堂”“互联网课堂”“抖音银龄学堂”“银龄广播学堂”等空中课堂，组织辖区内老年人在“辽宁终身学习网”、辽宁有线电视“老年大学专区”等平台上进行数字化课程学习和交流活动，提升老年学员数字化学习技能。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5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0" w:hRule="atLeast"/>
        </w:trPr>
        <w:tc>
          <w:tcPr>
            <w:tcW w:w="864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rPr>
                <w:rFonts w:ascii="仿宋_GB2312" w:eastAsia="仿宋_GB2312"/>
                <w:sz w:val="24"/>
              </w:rPr>
            </w:pPr>
          </w:p>
        </w:tc>
        <w:tc>
          <w:tcPr>
            <w:tcW w:w="1847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rPr>
                <w:rFonts w:ascii="仿宋_GB2312" w:eastAsia="仿宋_GB2312"/>
                <w:sz w:val="24"/>
              </w:rPr>
            </w:pPr>
          </w:p>
        </w:tc>
        <w:tc>
          <w:tcPr>
            <w:tcW w:w="63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2.</w:t>
            </w:r>
            <w:r>
              <w:rPr>
                <w:rFonts w:ascii="仿宋_GB2312" w:eastAsia="仿宋_GB2312"/>
                <w:sz w:val="24"/>
              </w:rPr>
              <w:t>组织学员建立在线学习群，开展线上教育教学活动</w:t>
            </w:r>
            <w:r>
              <w:rPr>
                <w:rFonts w:hint="eastAsia" w:ascii="仿宋_GB2312" w:eastAsia="仿宋_GB2312"/>
                <w:sz w:val="24"/>
              </w:rPr>
              <w:t>。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5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4" w:hRule="atLeast"/>
        </w:trPr>
        <w:tc>
          <w:tcPr>
            <w:tcW w:w="864" w:type="dxa"/>
            <w:vMerge w:val="restar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</w:p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办</w:t>
            </w:r>
          </w:p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学</w:t>
            </w:r>
          </w:p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效</w:t>
            </w:r>
          </w:p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果</w:t>
            </w:r>
          </w:p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 xml:space="preserve">20 </w:t>
            </w:r>
          </w:p>
        </w:tc>
        <w:tc>
          <w:tcPr>
            <w:tcW w:w="18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办学规模</w:t>
            </w:r>
          </w:p>
        </w:tc>
        <w:tc>
          <w:tcPr>
            <w:tcW w:w="63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形成一定规模，在籍学</w:t>
            </w:r>
            <w:r>
              <w:rPr>
                <w:rFonts w:hint="eastAsia" w:ascii="仿宋_GB2312" w:eastAsia="仿宋_GB2312"/>
                <w:sz w:val="24"/>
                <w:lang w:eastAsia="zh-CN"/>
              </w:rPr>
              <w:t>员</w:t>
            </w:r>
            <w:r>
              <w:rPr>
                <w:rFonts w:hint="eastAsia" w:ascii="仿宋_GB2312" w:eastAsia="仿宋_GB2312"/>
                <w:sz w:val="24"/>
              </w:rPr>
              <w:t>300人次以上；有完整且规范的学籍档案和学员管理档案。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5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05" w:hRule="atLeast"/>
        </w:trPr>
        <w:tc>
          <w:tcPr>
            <w:tcW w:w="864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847" w:type="dxa"/>
            <w:vMerge w:val="restar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特色品牌</w:t>
            </w:r>
          </w:p>
        </w:tc>
        <w:tc>
          <w:tcPr>
            <w:tcW w:w="63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1.有百姓学习之星、终身学习品牌项目、智慧助老、能者为师等典型案例。</w:t>
            </w:r>
          </w:p>
        </w:tc>
        <w:tc>
          <w:tcPr>
            <w:tcW w:w="660" w:type="dxa"/>
            <w:tcBorders>
              <w:bottom w:val="single" w:color="auto" w:sz="4" w:space="0"/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5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94" w:hRule="atLeast"/>
        </w:trPr>
        <w:tc>
          <w:tcPr>
            <w:tcW w:w="864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847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63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2.培育具有地域特色的学习型组织，开展非物质文化遗产和中华优秀传统文化传承等活动，形成特色品牌。</w:t>
            </w:r>
          </w:p>
        </w:tc>
        <w:tc>
          <w:tcPr>
            <w:tcW w:w="660" w:type="dxa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3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0" w:hRule="atLeast"/>
        </w:trPr>
        <w:tc>
          <w:tcPr>
            <w:tcW w:w="864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847" w:type="dxa"/>
            <w:vMerge w:val="restar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 xml:space="preserve"> </w:t>
            </w:r>
          </w:p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 xml:space="preserve"> 社会影响</w:t>
            </w:r>
          </w:p>
        </w:tc>
        <w:tc>
          <w:tcPr>
            <w:tcW w:w="63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1.重视宣传展示工作，及时向省、市、县信息平台报送推进老年教育信息与工作简报，在各级媒体宣传老年教育典型案例、分享工作经验。</w:t>
            </w:r>
          </w:p>
        </w:tc>
        <w:tc>
          <w:tcPr>
            <w:tcW w:w="660" w:type="dxa"/>
            <w:tcBorders>
              <w:top w:val="single" w:color="auto" w:sz="4" w:space="0"/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3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8" w:hRule="atLeast"/>
        </w:trPr>
        <w:tc>
          <w:tcPr>
            <w:tcW w:w="864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847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63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2.大力营造浓厚的宣传氛围，老年教育受到居民的广泛赞誉和好评，老年教育满意度逐年提高。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4</w:t>
            </w:r>
          </w:p>
        </w:tc>
      </w:tr>
    </w:tbl>
    <w:p>
      <w:pPr>
        <w:pStyle w:val="3"/>
        <w:widowControl/>
        <w:spacing w:before="0" w:beforeAutospacing="0" w:after="0" w:afterAutospacing="0" w:line="368" w:lineRule="atLeast"/>
        <w:ind w:firstLine="1928" w:firstLineChars="600"/>
        <w:jc w:val="both"/>
        <w:rPr>
          <w:rFonts w:ascii="仿宋" w:hAnsi="仿宋" w:eastAsia="仿宋" w:cs="仿宋"/>
          <w:b/>
          <w:bCs/>
          <w:sz w:val="32"/>
          <w:szCs w:val="32"/>
        </w:rPr>
      </w:pPr>
    </w:p>
    <w:p>
      <w:pPr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br w:type="page"/>
      </w:r>
    </w:p>
    <w:p>
      <w:pPr>
        <w:shd w:val="clear" w:color="auto" w:fill="FFFFFF"/>
        <w:spacing w:line="62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：</w:t>
      </w:r>
      <w:r>
        <w:rPr>
          <w:rFonts w:hint="eastAsia" w:ascii="黑体" w:hAnsi="黑体" w:eastAsia="黑体" w:cs="黑体"/>
          <w:sz w:val="32"/>
          <w:szCs w:val="32"/>
        </w:rPr>
        <w:t>5</w:t>
      </w:r>
    </w:p>
    <w:p>
      <w:pPr>
        <w:pStyle w:val="3"/>
        <w:widowControl/>
        <w:spacing w:before="0" w:beforeAutospacing="0" w:after="0" w:afterAutospacing="0" w:line="368" w:lineRule="atLeast"/>
        <w:jc w:val="center"/>
        <w:rPr>
          <w:rFonts w:ascii="方正小标宋简体" w:hAnsi="微软雅黑" w:eastAsia="方正小标宋简体" w:cs="宋体"/>
          <w:sz w:val="44"/>
          <w:szCs w:val="44"/>
        </w:rPr>
      </w:pPr>
      <w:r>
        <w:rPr>
          <w:rFonts w:hint="eastAsia" w:ascii="宋体" w:hAnsi="宋体" w:cs="宋体"/>
          <w:b/>
          <w:bCs/>
          <w:sz w:val="44"/>
          <w:szCs w:val="44"/>
        </w:rPr>
        <w:t>示范性老年学习中心评审指标</w:t>
      </w:r>
    </w:p>
    <w:tbl>
      <w:tblPr>
        <w:tblStyle w:val="4"/>
        <w:tblW w:w="9671" w:type="dxa"/>
        <w:tblInd w:w="-568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64"/>
        <w:gridCol w:w="1847"/>
        <w:gridCol w:w="6300"/>
        <w:gridCol w:w="660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65" w:hRule="atLeast"/>
        </w:trPr>
        <w:tc>
          <w:tcPr>
            <w:tcW w:w="86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一级指标</w:t>
            </w:r>
          </w:p>
        </w:tc>
        <w:tc>
          <w:tcPr>
            <w:tcW w:w="18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二级指标</w:t>
            </w:r>
          </w:p>
        </w:tc>
        <w:tc>
          <w:tcPr>
            <w:tcW w:w="63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三级指标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分值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2" w:hRule="atLeast"/>
        </w:trPr>
        <w:tc>
          <w:tcPr>
            <w:tcW w:w="864" w:type="dxa"/>
            <w:vMerge w:val="restar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组</w:t>
            </w:r>
          </w:p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织</w:t>
            </w:r>
          </w:p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管</w:t>
            </w:r>
          </w:p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理</w:t>
            </w:r>
          </w:p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 xml:space="preserve">15 </w:t>
            </w:r>
          </w:p>
        </w:tc>
        <w:tc>
          <w:tcPr>
            <w:tcW w:w="1847" w:type="dxa"/>
            <w:vMerge w:val="restar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运行机制</w:t>
            </w:r>
          </w:p>
        </w:tc>
        <w:tc>
          <w:tcPr>
            <w:tcW w:w="63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1.贯彻落实上级部门老年教育工作部署，制定老年教育年度计划。</w:t>
            </w:r>
          </w:p>
        </w:tc>
        <w:tc>
          <w:tcPr>
            <w:tcW w:w="660" w:type="dxa"/>
            <w:tcBorders>
              <w:bottom w:val="single" w:color="auto" w:sz="4" w:space="0"/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3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70" w:hRule="atLeast"/>
        </w:trPr>
        <w:tc>
          <w:tcPr>
            <w:tcW w:w="864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847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63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2.设有老年教育工作部门，有具体负责人，为居民提供灵活便捷的教育服务。</w:t>
            </w:r>
          </w:p>
        </w:tc>
        <w:tc>
          <w:tcPr>
            <w:tcW w:w="660" w:type="dxa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4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58" w:hRule="atLeast"/>
        </w:trPr>
        <w:tc>
          <w:tcPr>
            <w:tcW w:w="864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847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63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3.接受县（区）老年大学、乡镇（街道）老年学校的业务指导，完成上级部门布置的各项工作，及时报送老年教育工作相关信息。</w:t>
            </w:r>
          </w:p>
        </w:tc>
        <w:tc>
          <w:tcPr>
            <w:tcW w:w="660" w:type="dxa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3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8" w:hRule="atLeast"/>
        </w:trPr>
        <w:tc>
          <w:tcPr>
            <w:tcW w:w="864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rPr>
                <w:rFonts w:ascii="仿宋_GB2312" w:eastAsia="仿宋_GB2312"/>
                <w:sz w:val="24"/>
              </w:rPr>
            </w:pPr>
          </w:p>
        </w:tc>
        <w:tc>
          <w:tcPr>
            <w:tcW w:w="18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制度建设</w:t>
            </w:r>
          </w:p>
        </w:tc>
        <w:tc>
          <w:tcPr>
            <w:tcW w:w="63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制定教学管理、学员管理、档案管理、安全管理等各项制度。</w:t>
            </w:r>
          </w:p>
        </w:tc>
        <w:tc>
          <w:tcPr>
            <w:tcW w:w="660" w:type="dxa"/>
            <w:tcBorders>
              <w:top w:val="single" w:color="auto" w:sz="4" w:space="0"/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5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6" w:hRule="atLeast"/>
        </w:trPr>
        <w:tc>
          <w:tcPr>
            <w:tcW w:w="864" w:type="dxa"/>
            <w:vMerge w:val="restar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办</w:t>
            </w:r>
          </w:p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学</w:t>
            </w:r>
          </w:p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条</w:t>
            </w:r>
          </w:p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件</w:t>
            </w:r>
          </w:p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 xml:space="preserve">30 </w:t>
            </w:r>
          </w:p>
        </w:tc>
        <w:tc>
          <w:tcPr>
            <w:tcW w:w="1847" w:type="dxa"/>
            <w:vMerge w:val="restar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办学场所</w:t>
            </w:r>
          </w:p>
        </w:tc>
        <w:tc>
          <w:tcPr>
            <w:tcW w:w="63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1.用于老年教育管理及服务的场所面积原则上不少于100平方米，配有教学辅助设备、现代教学设备，能满足正常教学、培训要求。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5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864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847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63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2.建有一个以上校外老年教育基地。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5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8" w:hRule="atLeast"/>
        </w:trPr>
        <w:tc>
          <w:tcPr>
            <w:tcW w:w="864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847" w:type="dxa"/>
            <w:vMerge w:val="restar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 xml:space="preserve"> 队伍建设</w:t>
            </w:r>
          </w:p>
        </w:tc>
        <w:tc>
          <w:tcPr>
            <w:tcW w:w="63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1.有专职或兼职管理人员至少1人，有满足教学需要的专、兼职教师和志愿者队伍。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5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45" w:hRule="atLeast"/>
        </w:trPr>
        <w:tc>
          <w:tcPr>
            <w:tcW w:w="864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847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63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2.组织老年教育专兼职教师、志愿者参加培训，每年组织并参加各类培训年不低于2次。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5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12" w:hRule="atLeast"/>
        </w:trPr>
        <w:tc>
          <w:tcPr>
            <w:tcW w:w="864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847" w:type="dxa"/>
            <w:vMerge w:val="restar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 xml:space="preserve"> 经费保障</w:t>
            </w:r>
          </w:p>
        </w:tc>
        <w:tc>
          <w:tcPr>
            <w:tcW w:w="63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1.拓宽教育经费来源，吸引更多的社会力量参与，引导居民利用自有设施及社会资源开展老年教育活动。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5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6" w:hRule="atLeast"/>
        </w:trPr>
        <w:tc>
          <w:tcPr>
            <w:tcW w:w="864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847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63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2.制定老年教育资金管理使用办法。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5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</w:trPr>
        <w:tc>
          <w:tcPr>
            <w:tcW w:w="864" w:type="dxa"/>
            <w:vMerge w:val="restar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</w:p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</w:p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</w:p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</w:p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教</w:t>
            </w:r>
          </w:p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育</w:t>
            </w:r>
          </w:p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教</w:t>
            </w:r>
          </w:p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学</w:t>
            </w:r>
          </w:p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 xml:space="preserve">35 </w:t>
            </w:r>
          </w:p>
        </w:tc>
        <w:tc>
          <w:tcPr>
            <w:tcW w:w="18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办学理念</w:t>
            </w:r>
          </w:p>
        </w:tc>
        <w:tc>
          <w:tcPr>
            <w:tcW w:w="63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坚持公益普惠办学原则，服务老年人厚德修身、终身学习、主动健康、乐享生活、积极作为。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5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</w:trPr>
        <w:tc>
          <w:tcPr>
            <w:tcW w:w="864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847" w:type="dxa"/>
            <w:vMerge w:val="restar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</w:p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</w:p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教学培训</w:t>
            </w:r>
          </w:p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 xml:space="preserve"> </w:t>
            </w:r>
          </w:p>
        </w:tc>
        <w:tc>
          <w:tcPr>
            <w:tcW w:w="63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1.组织开展适合老年人特点的教育培训，为老年人创造良好的学习条件和提供丰富的学习内容。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8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" w:hRule="atLeast"/>
        </w:trPr>
        <w:tc>
          <w:tcPr>
            <w:tcW w:w="864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847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63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2.教学工作规范，关注学习过程安全，建立激励机制，定期开展评选表彰活动等。</w:t>
            </w:r>
            <w:bookmarkStart w:id="1" w:name="_GoBack"/>
            <w:bookmarkEnd w:id="1"/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6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25" w:hRule="atLeast"/>
        </w:trPr>
        <w:tc>
          <w:tcPr>
            <w:tcW w:w="864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847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63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rPr>
                <w:rFonts w:ascii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3.积极参与“全民终身学习活动周”，组织开展学习团队培育、百姓学习之星、社区教育活动品牌等评选。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6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00" w:hRule="atLeast"/>
        </w:trPr>
        <w:tc>
          <w:tcPr>
            <w:tcW w:w="864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rPr>
                <w:rFonts w:ascii="仿宋_GB2312" w:eastAsia="仿宋_GB2312"/>
                <w:sz w:val="24"/>
              </w:rPr>
            </w:pPr>
          </w:p>
        </w:tc>
        <w:tc>
          <w:tcPr>
            <w:tcW w:w="1847" w:type="dxa"/>
            <w:vMerge w:val="restar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 xml:space="preserve"> 数字化学习</w:t>
            </w:r>
          </w:p>
        </w:tc>
        <w:tc>
          <w:tcPr>
            <w:tcW w:w="63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1.拓展“有线电视课堂”“互联网课堂”“抖音银龄学堂”“银龄广播学堂”等空中课堂，组织辖区老年人在“辽宁终身学习网”、辽宁有线电视“老年大学专区”等平台上进行数字化课程学习和交流活动，提升老年学员数字化学习技能。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5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0" w:hRule="atLeast"/>
        </w:trPr>
        <w:tc>
          <w:tcPr>
            <w:tcW w:w="864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rPr>
                <w:rFonts w:ascii="仿宋_GB2312" w:eastAsia="仿宋_GB2312"/>
                <w:sz w:val="24"/>
              </w:rPr>
            </w:pPr>
          </w:p>
        </w:tc>
        <w:tc>
          <w:tcPr>
            <w:tcW w:w="1847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rPr>
                <w:rFonts w:ascii="仿宋_GB2312" w:eastAsia="仿宋_GB2312"/>
                <w:sz w:val="24"/>
              </w:rPr>
            </w:pPr>
          </w:p>
        </w:tc>
        <w:tc>
          <w:tcPr>
            <w:tcW w:w="63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2.</w:t>
            </w:r>
            <w:r>
              <w:rPr>
                <w:rFonts w:ascii="仿宋_GB2312" w:eastAsia="仿宋_GB2312"/>
                <w:sz w:val="24"/>
              </w:rPr>
              <w:t>组织学员建立在线学习群，开展线上教育教学活动</w:t>
            </w:r>
            <w:r>
              <w:rPr>
                <w:rFonts w:hint="eastAsia" w:ascii="仿宋_GB2312" w:eastAsia="仿宋_GB2312"/>
                <w:sz w:val="24"/>
              </w:rPr>
              <w:t>。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5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4" w:hRule="atLeast"/>
        </w:trPr>
        <w:tc>
          <w:tcPr>
            <w:tcW w:w="864" w:type="dxa"/>
            <w:vMerge w:val="restar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</w:p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办</w:t>
            </w:r>
          </w:p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学</w:t>
            </w:r>
          </w:p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效</w:t>
            </w:r>
          </w:p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果</w:t>
            </w:r>
          </w:p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 xml:space="preserve">20 </w:t>
            </w:r>
          </w:p>
        </w:tc>
        <w:tc>
          <w:tcPr>
            <w:tcW w:w="184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办学规模</w:t>
            </w:r>
          </w:p>
        </w:tc>
        <w:tc>
          <w:tcPr>
            <w:tcW w:w="63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每年参加学习、活动的学员100人次以上，有完整且规范的学籍档案和学员管理档案。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5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</w:trPr>
        <w:tc>
          <w:tcPr>
            <w:tcW w:w="864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847" w:type="dxa"/>
            <w:vMerge w:val="restar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特色品牌</w:t>
            </w:r>
          </w:p>
        </w:tc>
        <w:tc>
          <w:tcPr>
            <w:tcW w:w="63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1.有百姓学习之星、终身学习品牌项目、智慧助老、能者为师等典型案例。</w:t>
            </w:r>
          </w:p>
        </w:tc>
        <w:tc>
          <w:tcPr>
            <w:tcW w:w="660" w:type="dxa"/>
            <w:tcBorders>
              <w:bottom w:val="single" w:color="auto" w:sz="4" w:space="0"/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5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94" w:hRule="atLeast"/>
        </w:trPr>
        <w:tc>
          <w:tcPr>
            <w:tcW w:w="864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847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63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2.引导居民成立具有特色的学习型组织，开展非物质文化遗产和中华优秀传统文化传承等活动，形成特色品牌。</w:t>
            </w:r>
          </w:p>
        </w:tc>
        <w:tc>
          <w:tcPr>
            <w:tcW w:w="660" w:type="dxa"/>
            <w:tcBorders>
              <w:top w:val="single" w:color="auto" w:sz="4" w:space="0"/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3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0" w:hRule="atLeast"/>
        </w:trPr>
        <w:tc>
          <w:tcPr>
            <w:tcW w:w="864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847" w:type="dxa"/>
            <w:vMerge w:val="restar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 xml:space="preserve"> </w:t>
            </w:r>
          </w:p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 xml:space="preserve"> 社会影响</w:t>
            </w:r>
          </w:p>
        </w:tc>
        <w:tc>
          <w:tcPr>
            <w:tcW w:w="63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1.在各级媒体宣传老年教育典型案例、分享工作经验。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3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8" w:hRule="atLeast"/>
        </w:trPr>
        <w:tc>
          <w:tcPr>
            <w:tcW w:w="864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847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630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2.大力营造浓厚的宣传氛围，老年教育受到居民的广泛赞誉和好评，老年教育满意度逐年提高。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400" w:lineRule="exact"/>
              <w:contextualSpacing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4</w:t>
            </w:r>
          </w:p>
        </w:tc>
      </w:tr>
    </w:tbl>
    <w:p>
      <w:pPr>
        <w:pStyle w:val="3"/>
        <w:widowControl/>
        <w:spacing w:before="0" w:beforeAutospacing="0" w:after="0" w:afterAutospacing="0" w:line="368" w:lineRule="atLeast"/>
        <w:ind w:firstLine="1928" w:firstLineChars="600"/>
        <w:jc w:val="both"/>
        <w:rPr>
          <w:rFonts w:ascii="仿宋" w:hAnsi="仿宋" w:eastAsia="仿宋" w:cs="仿宋"/>
          <w:b/>
          <w:bCs/>
          <w:sz w:val="32"/>
          <w:szCs w:val="32"/>
        </w:rPr>
      </w:pPr>
    </w:p>
    <w:p>
      <w:pPr>
        <w:adjustRightInd w:val="0"/>
        <w:snapToGrid w:val="0"/>
        <w:spacing w:line="400" w:lineRule="exact"/>
        <w:contextualSpacing/>
        <w:rPr>
          <w:rFonts w:ascii="仿宋_GB2312" w:eastAsia="仿宋_GB2312"/>
          <w:sz w:val="28"/>
          <w:szCs w:val="28"/>
        </w:rPr>
      </w:pPr>
    </w:p>
    <w:p>
      <w:pPr>
        <w:jc w:val="center"/>
        <w:rPr>
          <w:rFonts w:ascii="宋体" w:hAnsi="宋体" w:cs="宋体"/>
          <w:sz w:val="30"/>
          <w:szCs w:val="30"/>
        </w:rPr>
      </w:pPr>
    </w:p>
    <w:p>
      <w:pPr>
        <w:jc w:val="center"/>
        <w:rPr>
          <w:rFonts w:ascii="宋体" w:hAnsi="宋体" w:cs="宋体"/>
          <w:sz w:val="30"/>
          <w:szCs w:val="30"/>
        </w:rPr>
      </w:pPr>
    </w:p>
    <w:p>
      <w:pPr>
        <w:jc w:val="center"/>
        <w:rPr>
          <w:rFonts w:ascii="宋体" w:hAnsi="宋体" w:cs="宋体"/>
          <w:sz w:val="30"/>
          <w:szCs w:val="30"/>
        </w:rPr>
      </w:pPr>
    </w:p>
    <w:p>
      <w:pPr>
        <w:pStyle w:val="2"/>
      </w:pPr>
    </w:p>
    <w:p/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spacing w:line="560" w:lineRule="exact"/>
        <w:rPr>
          <w:rFonts w:ascii="仿宋_GB2312" w:hAnsi="仿宋_GB2312" w:eastAsia="仿宋_GB2312" w:cs="仿宋_GB2312"/>
          <w:sz w:val="32"/>
        </w:rPr>
      </w:pPr>
      <w:r>
        <w:rPr>
          <w:rFonts w:asciiTheme="minorHAnsi" w:hAnsiTheme="minorHAnsi" w:eastAsiaTheme="minorEastAsi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-42545</wp:posOffset>
                </wp:positionH>
                <wp:positionV relativeFrom="paragraph">
                  <wp:posOffset>5080</wp:posOffset>
                </wp:positionV>
                <wp:extent cx="5781675" cy="0"/>
                <wp:effectExtent l="0" t="0" r="0" b="0"/>
                <wp:wrapNone/>
                <wp:docPr id="3" name="直接箭头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8167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-3.35pt;margin-top:0.4pt;height:0pt;width:455.25pt;z-index:251659264;mso-width-relative:page;mso-height-relative:page;" filled="f" stroked="t" coordsize="21600,21600" o:gfxdata="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DbDdlL0gAAAAQBAAAPAAAAAAAAAAEAIAAAACIAAABkcnMvZG93bnJldi54bWxQ&#10;SwECFAAUAAAACACHTuJACIv8o/0BAADsAwAADgAAAAAAAAABACAAAAAhAQAAZHJzL2Uyb0RvYy54&#10;bWxQSwUGAAAAAAYABgBZAQAAkA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32"/>
        </w:rPr>
        <w:t>抄报：辽宁省教育厅职业与成人教育处、国家老年大学</w:t>
      </w:r>
    </w:p>
    <w:p>
      <w:pPr>
        <w:spacing w:line="560" w:lineRule="exact"/>
        <w:rPr>
          <w:rFonts w:ascii="仿宋_GB2312" w:hAnsi="仿宋_GB2312" w:eastAsia="仿宋_GB2312" w:cs="仿宋_GB2312"/>
          <w:sz w:val="32"/>
        </w:rPr>
      </w:pPr>
      <w:r>
        <w:rPr>
          <w:rFonts w:asciiTheme="minorHAnsi" w:hAnsiTheme="minorHAnsi" w:eastAsiaTheme="minorEastAsi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-42545</wp:posOffset>
                </wp:positionH>
                <wp:positionV relativeFrom="paragraph">
                  <wp:posOffset>5080</wp:posOffset>
                </wp:positionV>
                <wp:extent cx="5781675" cy="0"/>
                <wp:effectExtent l="0" t="0" r="0" b="0"/>
                <wp:wrapNone/>
                <wp:docPr id="5" name="直接箭头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8167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-3.35pt;margin-top:0.4pt;height:0pt;width:455.25pt;z-index:251660288;mso-width-relative:page;mso-height-relative:page;" filled="f" stroked="t" coordsize="21600,21600" o:gfxdata="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NsN2UvSAAAABAEAAA8AAAAAAAAAAQAgAAAAIgAAAGRycy9kb3ducmV2LnhtbFBL&#10;AQIUABQAAAAIAIdO4kDS9NRM/AEAAOwDAAAOAAAAAAAAAAEAIAAAACEBAABkcnMvZTJvRG9jLnht&#10;bFBLBQYAAAAABgAGAFkBAACP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32"/>
        </w:rPr>
        <w:t>抄送：各市教育局</w:t>
      </w:r>
    </w:p>
    <w:p>
      <w:pPr>
        <w:spacing w:line="560" w:lineRule="exact"/>
        <w:rPr>
          <w:rFonts w:ascii="宋体" w:hAnsi="宋体" w:cs="宋体"/>
          <w:sz w:val="30"/>
          <w:szCs w:val="30"/>
        </w:rPr>
      </w:pPr>
      <w:r>
        <w:rPr>
          <w:rFonts w:asciiTheme="minorHAnsi" w:hAnsiTheme="minorHAnsi" w:eastAsiaTheme="minorEastAsi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-21590</wp:posOffset>
                </wp:positionH>
                <wp:positionV relativeFrom="paragraph">
                  <wp:posOffset>36830</wp:posOffset>
                </wp:positionV>
                <wp:extent cx="5781675" cy="0"/>
                <wp:effectExtent l="0" t="0" r="0" b="0"/>
                <wp:wrapNone/>
                <wp:docPr id="4" name="直接箭头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8167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-1.7pt;margin-top:2.9pt;height:0pt;width:455.25pt;z-index:251660288;mso-width-relative:page;mso-height-relative:page;" filled="f" stroked="t" coordsize="21600,21600" o:gfxdata="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LuQ31vUAAAABgEAAA8AAAAAAAAAAQAgAAAAIgAAAGRycy9kb3ducmV2Lnht&#10;bFBLAQIUABQAAAAIAIdO4kC243fX/QEAAOwDAAAOAAAAAAAAAAEAIAAAACMBAABkcnMvZTJvRG9j&#10;LnhtbFBLBQYAAAAABgAGAFkBAACS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</w:p>
    <w:p>
      <w:pPr>
        <w:widowControl/>
        <w:spacing w:line="368" w:lineRule="atLeast"/>
        <w:jc w:val="left"/>
      </w:pPr>
    </w:p>
    <w:p/>
    <w:sectPr>
      <w:pgSz w:w="11906" w:h="16838"/>
      <w:pgMar w:top="993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B3C3E6D-A211-4842-B1DC-6AE437FCF481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476CAB34-78FC-4370-B439-3F9215F032F8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B0333B5A-2614-466A-BBE0-659F65CE6C79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68737EFF-C478-4796-AD9F-6B9E60081598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5" w:fontKey="{999BBA08-D7D4-4847-873D-02A4022B73A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DBE9A993-8A62-4B0C-8CB6-6C563AA139C3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  <w:embedRegular r:id="rId7" w:fontKey="{629825C5-6781-483A-8B1F-63776DBEEA16}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gwYWJkNzg1OGE1YjAxZTdkNTBmYTEyNTk5MDRhOGYifQ=="/>
    <w:docVar w:name="KSO_WPS_MARK_KEY" w:val="3874e07b-725d-4633-bf89-e4e8d0b70f8d"/>
  </w:docVars>
  <w:rsids>
    <w:rsidRoot w:val="00000000"/>
    <w:rsid w:val="26954CCC"/>
    <w:rsid w:val="49127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/>
      <w:b/>
      <w:bCs/>
      <w:kern w:val="0"/>
      <w:sz w:val="36"/>
      <w:szCs w:val="36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3827</Words>
  <Characters>3931</Characters>
  <Lines>0</Lines>
  <Paragraphs>0</Paragraphs>
  <TotalTime>47</TotalTime>
  <ScaleCrop>false</ScaleCrop>
  <LinksUpToDate>false</LinksUpToDate>
  <CharactersWithSpaces>4071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2025-04-01T04:14:00Z</dcterms:created>
  <dc:creator>Administrator</dc:creator>
  <cp:lastModifiedBy>李廓</cp:lastModifiedBy>
  <dcterms:modified xsi:type="dcterms:W3CDTF">2025-04-07T02:53:08Z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7CC164DCCF8B46D291432BC6D607AD76_12</vt:lpwstr>
  </property>
</Properties>
</file>