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ascii="宋体" w:hAnsi="宋体" w:cs="宋体"/>
          <w:b/>
          <w:bCs/>
          <w:color w:val="FF0000"/>
          <w:spacing w:val="159"/>
          <w:w w:val="46"/>
          <w:sz w:val="100"/>
          <w:szCs w:val="100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ascii="宋体" w:hAnsi="宋体" w:cs="宋体"/>
          <w:b/>
          <w:bCs/>
          <w:color w:val="FF0000"/>
          <w:spacing w:val="159"/>
          <w:w w:val="46"/>
          <w:sz w:val="100"/>
          <w:szCs w:val="100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1350" w:firstLineChars="900"/>
        <w:jc w:val="both"/>
        <w:rPr>
          <w:rFonts w:ascii="仿宋" w:hAnsi="仿宋" w:eastAsia="仿宋" w:cs="仿宋"/>
          <w:sz w:val="15"/>
          <w:szCs w:val="15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1350" w:firstLineChars="900"/>
        <w:jc w:val="both"/>
        <w:rPr>
          <w:rFonts w:ascii="仿宋" w:hAnsi="仿宋" w:eastAsia="仿宋" w:cs="仿宋"/>
          <w:sz w:val="15"/>
          <w:szCs w:val="15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80" w:lineRule="exact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辽社指[202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]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黑体" w:hAnsi="黑体" w:eastAsia="黑体" w:cs="黑体"/>
          <w:color w:val="000000"/>
          <w:sz w:val="4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关于举办“爱生活爱辽宁”摄影大赛的通知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各市社区教育指导中心、社区学院、老年大学、高职院校、老年教育机构、社会团体：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为深入学习宣传贯彻党的二十大精神，多角度展现辽宁振兴新突破出现的新局面和新风貌，用影像践行“推进美丽辽宁建设”，辽宁省社区教育指导中心、中国广电辽宁网络股份有限公司联合举办“爱生活爱辽宁”摄影大赛，现将有关事宜通知如下。         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一、大赛主题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次大赛以“爱生活爱辽宁”为主题，作品要求用独特视角、对比方式聚焦辽宁振兴新突破三年行动、辽宁地区城乡发展变迁，用小镜头展现大视野，捕捉现代生产、营商便利、乡村振兴、民生福祉、先进典型、教育成果及我省生态文明建设等美好瞬间。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二、组织及评审机构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辽宁省社区教育指导中心、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中国广电辽宁网络股份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协办单位：美的集团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指导评审单位：辽宁省摄影艺术家协会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三、参赛对象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本次大赛面向全省举办，省内所有摄影爱好者均可投稿参赛。</w:t>
      </w:r>
    </w:p>
    <w:p>
      <w:pPr>
        <w:numPr>
          <w:ilvl w:val="0"/>
          <w:numId w:val="0"/>
        </w:numPr>
        <w:spacing w:line="580" w:lineRule="exact"/>
        <w:ind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四、投稿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要求</w:t>
      </w:r>
    </w:p>
    <w:p>
      <w:pPr>
        <w:numPr>
          <w:ilvl w:val="0"/>
          <w:numId w:val="0"/>
        </w:numPr>
        <w:spacing w:line="580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（一）单反、微单、无人机、手机拍摄作品均可参赛。</w:t>
      </w:r>
    </w:p>
    <w:p>
      <w:pPr>
        <w:numPr>
          <w:ilvl w:val="0"/>
          <w:numId w:val="0"/>
        </w:numPr>
        <w:spacing w:line="580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（二）投稿作品内容紧扣活动主题，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角度新颖、内容健康，积极向上，有时代感和独创精神，能给人以有力的感染力和视觉冲击力。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（三）投稿作品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单张图片大小不小于</w:t>
      </w:r>
      <w:r>
        <w:rPr>
          <w:rFonts w:hint="eastAsia" w:ascii="仿宋_GB2312" w:hAnsi="仿宋_GB2312" w:eastAsia="仿宋_GB2312" w:cs="仿宋_GB2312"/>
          <w:sz w:val="32"/>
          <w:szCs w:val="32"/>
        </w:rPr>
        <w:t>800万像素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JPG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JPEG、PNG、BMP均可</w:t>
      </w:r>
      <w:r>
        <w:rPr>
          <w:rFonts w:hint="eastAsia" w:ascii="仿宋_GB2312" w:hAnsi="仿宋_GB2312" w:eastAsia="仿宋_GB2312" w:cs="仿宋_GB2312"/>
          <w:sz w:val="32"/>
          <w:szCs w:val="32"/>
        </w:rPr>
        <w:t>，拍摄形式、风格不限，彩色、黑白、单幅、组照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不超过五张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均可，投稿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需配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简要完整的标题和说明（100字以内），标题要主旨鲜明、简练准确，说明内容导向正确、表述准确、逻辑清晰。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（四）投稿作品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以不违背拍摄对象客观真实属性为准。杜绝提供电脑创意、改变原始影像的作品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原则上为纪实作品，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不得做合成、添加、改变等技术处理。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（五）投稿作品可以进行适当的后期处理，包括但不限于彩色转为黑白，饱和度、对比度、色调的调整，全景图、HDR、多重曝光等。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（六）投稿者应保证其为所投送作品的作者，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保证其作品的原创性、真实性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并对该作品的整体及组成部分均拥有独立、完整、明确、无争议的全部合法权利；投稿者还应保证其所投送的作品不侵犯第三人名誉权、著作权、隐私权、</w:t>
      </w:r>
      <w:r>
        <w:rPr>
          <w:rFonts w:hint="eastAsia" w:ascii="仿宋_GB2312" w:hAnsi="仿宋_GB2312" w:eastAsia="仿宋_GB2312" w:cs="仿宋_GB2312"/>
          <w:sz w:val="32"/>
          <w:szCs w:val="32"/>
        </w:rPr>
        <w:t>肖像权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等在内的合法权益。</w:t>
      </w:r>
    </w:p>
    <w:p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五、大赛评审及奖项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（一）辽宁省社区教育指导中心和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中国广电辽宁网络股份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有限公司负责本次大赛的组织、表彰和参赛作品的展示、推广；辽宁省摄影艺术家协会负责组织参赛作品的评审。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（二）摄影作品将在辽宁有线电视“老年大学”频道专区进行展示，通过观众投票和专家评审方式，评出相应奖项，由辽宁省社区教育指导中心颁发证书和奖牌，美的集团发放奖品。</w:t>
      </w:r>
    </w:p>
    <w:p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（三）本次大赛设作品奖和优秀组织奖两个奖项。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1.作品奖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作品奖设一等奖、二等奖、三等奖、优秀奖若干名。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2.优秀组织奖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根据活动的实际推进、报送数量、投票情况和获奖情况等，为推荐单位颁发优秀组织奖。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六、报名要求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各市社区学院、老年大学、高职院校、老年教育机构、社会团体等单位按照摄参赛作品要求，负责本单位教职工及学员的参赛作品内容的审查，组织填写《“爱生活爱辽宁”摄影大赛报名表》（见附件一），连同参赛作品一同报送所在市社区教育指导中心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各市社区教育指导中心负责汇总、整理、审核本地区相关单位及个人报送的报名表及参赛作品并填写《“爱生活爱辽宁”摄影大赛作品汇总表》（附件2），发送至邮箱lnln@lnsqjy.com。上报截止时间为2023年5月31日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七、获奖作品展示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（一）获奖作品将在辽宁终身学习网、辽宁老年学习网和辽宁有线电视“老年大学”频道专区上进行展播，同时将获奖作品纳入“辽宁省社区老年教育成果库”。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（二）获奖作品有机会获得免费装裱，在主办方指定场地进行为期一年展览，展览期间可参与公益拍卖，所得善款用于捐赠公益事业。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（三）获奖作品作者均有机会参与“作品背后的故事”栏目录制，向电视机前的观众讲述作品背后的真实故事。</w:t>
      </w:r>
    </w:p>
    <w:p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八、作品版权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所有作品一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经投稿一</w:t>
      </w:r>
      <w:r>
        <w:rPr>
          <w:rFonts w:hint="eastAsia" w:ascii="仿宋_GB2312" w:hAnsi="仿宋_GB2312" w:eastAsia="仿宋_GB2312" w:cs="仿宋_GB2312"/>
          <w:sz w:val="32"/>
          <w:szCs w:val="32"/>
        </w:rPr>
        <w:t>律不予退还，作品一旦提交，即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视为投稿者独家、免费、长期授权主办方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拥有作品推广使用权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主办方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有权将参赛作品纳入活动组织机构素材库，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活动主办方在后续使用中有对参赛作品进行二次加工、创作、修改、重组的权力，并同时具备新作品的版权及使用权。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（二）如投稿者参赛作品发生知识产权、名誉权、隐私权、肖像权等以上任何法律问题纠纷时，由投稿者承担负责全部法律责任并承担解决费用。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（三）本供稿要求解释权属主办方，凡投稿者，即视为其已同意本供稿要求之所有规定。</w:t>
      </w:r>
    </w:p>
    <w:p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九、联系人及联系方式</w:t>
      </w:r>
    </w:p>
    <w:p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磊：13125427727</w:t>
      </w:r>
    </w:p>
    <w:p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韩旭东：18040051667</w:t>
      </w:r>
    </w:p>
    <w:p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附件：1.“爱生活爱辽宁”摄影大赛报名表</w:t>
      </w:r>
    </w:p>
    <w:p>
      <w:pPr>
        <w:numPr>
          <w:ilvl w:val="0"/>
          <w:numId w:val="0"/>
        </w:numPr>
        <w:spacing w:line="580" w:lineRule="exact"/>
        <w:ind w:leftChars="300"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2.“爱生活爱辽宁”摄影大赛作品汇总表</w:t>
      </w: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spacing w:line="58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辽宁省社区教育指导中心</w:t>
      </w:r>
    </w:p>
    <w:p>
      <w:pPr>
        <w:numPr>
          <w:ilvl w:val="0"/>
          <w:numId w:val="0"/>
        </w:numPr>
        <w:spacing w:line="580" w:lineRule="exact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2023年3月3日</w:t>
      </w:r>
      <w:r>
        <w:rPr>
          <w:rFonts w:hint="eastAsia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sz w:val="36"/>
          <w:szCs w:val="36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zh-CN" w:eastAsia="zh-CN"/>
        </w:rPr>
        <w:t>“爱生活爱辽宁”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摄影大赛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zh-CN" w:eastAsia="zh-CN"/>
        </w:rPr>
        <w:t>报名表</w:t>
      </w:r>
    </w:p>
    <w:tbl>
      <w:tblPr>
        <w:tblStyle w:val="3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94"/>
        <w:gridCol w:w="2450"/>
        <w:gridCol w:w="1853"/>
        <w:gridCol w:w="2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pacing w:line="280" w:lineRule="exact"/>
              <w:ind w:right="40"/>
              <w:jc w:val="center"/>
              <w:rPr>
                <w:rFonts w:ascii="仿宋" w:eastAsia="仿宋" w:cs="PMingLiU"/>
                <w:color w:val="000000"/>
                <w:sz w:val="24"/>
                <w:szCs w:val="24"/>
              </w:rPr>
            </w:pPr>
            <w:r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  <w:t>作品名称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hd w:val="clear" w:color="auto" w:fill="FFFFFF"/>
              <w:spacing w:line="276" w:lineRule="auto"/>
              <w:ind w:left="130" w:leftChars="62" w:right="134" w:firstLine="480" w:firstLineChars="200"/>
              <w:rPr>
                <w:rFonts w:ascii="仿宋" w:eastAsia="仿宋" w:cs="PMingLiU"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5" w:hRule="exac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pacing w:line="280" w:lineRule="exact"/>
              <w:ind w:right="40"/>
              <w:jc w:val="center"/>
              <w:rPr>
                <w:rFonts w:hint="eastAsia"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en-US" w:bidi="zh-CN"/>
              </w:rPr>
            </w:pPr>
            <w:r>
              <w:rPr>
                <w:rFonts w:hint="eastAsia"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  <w:t>主题</w:t>
            </w:r>
            <w:r>
              <w:rPr>
                <w:rFonts w:hint="eastAsia"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en-US" w:bidi="zh-CN"/>
              </w:rPr>
              <w:t>内容</w:t>
            </w:r>
          </w:p>
          <w:p>
            <w:pPr>
              <w:framePr w:w="9216" w:wrap="notBeside" w:vAnchor="text" w:hAnchor="page" w:x="1365" w:y="291"/>
              <w:spacing w:line="280" w:lineRule="exact"/>
              <w:ind w:right="40"/>
              <w:jc w:val="center"/>
              <w:rPr>
                <w:rFonts w:hint="default"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en-US" w:bidi="zh-CN"/>
              </w:rPr>
            </w:pPr>
            <w:r>
              <w:rPr>
                <w:rFonts w:hint="eastAsia"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en-US" w:bidi="zh-CN"/>
              </w:rPr>
              <w:t>（100字以内）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hd w:val="clear" w:color="auto" w:fill="FFFFFF"/>
              <w:spacing w:line="120" w:lineRule="auto"/>
              <w:ind w:left="130" w:leftChars="62" w:right="136" w:firstLine="480" w:firstLineChars="200"/>
              <w:rPr>
                <w:rFonts w:ascii="仿宋" w:eastAsia="仿宋" w:cs="PMingLiU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pacing w:line="280" w:lineRule="exact"/>
              <w:ind w:right="40"/>
              <w:jc w:val="center"/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</w:pPr>
            <w:r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  <w:t>作者</w:t>
            </w:r>
            <w:r>
              <w:rPr>
                <w:rFonts w:hint="eastAsia"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  <w:t>姓名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hd w:val="clear" w:color="auto" w:fill="FFFFFF"/>
              <w:spacing w:line="276" w:lineRule="auto"/>
              <w:ind w:left="130" w:leftChars="62" w:right="134" w:rightChars="0" w:firstLine="480" w:firstLineChars="200"/>
              <w:rPr>
                <w:rFonts w:ascii="仿宋" w:eastAsia="仿宋" w:cs="PMingLiU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pacing w:line="280" w:lineRule="exact"/>
              <w:ind w:right="40" w:rightChars="0"/>
              <w:jc w:val="center"/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</w:pPr>
            <w:r>
              <w:rPr>
                <w:rFonts w:hint="eastAsia"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en-US" w:bidi="zh-CN"/>
              </w:rPr>
              <w:t>身份证号码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hd w:val="clear" w:color="auto" w:fill="FFFFFF"/>
              <w:spacing w:line="276" w:lineRule="auto"/>
              <w:ind w:left="130" w:leftChars="62" w:right="134" w:firstLine="480" w:firstLineChars="200"/>
              <w:rPr>
                <w:rFonts w:ascii="仿宋" w:eastAsia="仿宋" w:cs="PMingLiU"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pacing w:line="280" w:lineRule="exact"/>
              <w:ind w:right="40"/>
              <w:jc w:val="center"/>
              <w:rPr>
                <w:rFonts w:hint="eastAsia"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en-US" w:bidi="zh-CN"/>
              </w:rPr>
            </w:pPr>
            <w:r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  <w:t>作品时长</w:t>
            </w:r>
            <w:r>
              <w:rPr>
                <w:rFonts w:hint="eastAsia"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en-US" w:bidi="zh-CN"/>
              </w:rPr>
              <w:t>/</w:t>
            </w:r>
          </w:p>
          <w:p>
            <w:pPr>
              <w:framePr w:w="9216" w:wrap="notBeside" w:vAnchor="text" w:hAnchor="page" w:x="1365" w:y="291"/>
              <w:spacing w:line="280" w:lineRule="exact"/>
              <w:ind w:right="40"/>
              <w:jc w:val="center"/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</w:pPr>
            <w:r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  <w:t>规</w:t>
            </w:r>
            <w:r>
              <w:rPr>
                <w:rFonts w:hint="eastAsia"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  <w:t xml:space="preserve">   </w:t>
            </w:r>
            <w:r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  <w:t>格</w:t>
            </w:r>
          </w:p>
          <w:p>
            <w:pPr>
              <w:framePr w:w="9216" w:wrap="notBeside" w:vAnchor="text" w:hAnchor="page" w:x="1365" w:y="291"/>
              <w:spacing w:line="280" w:lineRule="exact"/>
              <w:ind w:right="40" w:rightChars="0"/>
              <w:jc w:val="center"/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hd w:val="clear" w:color="auto" w:fill="FFFFFF"/>
              <w:spacing w:line="276" w:lineRule="auto"/>
              <w:ind w:left="130" w:leftChars="62" w:right="134" w:rightChars="0" w:firstLine="480" w:firstLineChars="200"/>
              <w:rPr>
                <w:rFonts w:ascii="仿宋" w:eastAsia="仿宋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pacing w:line="280" w:lineRule="exact"/>
              <w:ind w:right="40" w:rightChars="0"/>
              <w:jc w:val="center"/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</w:pPr>
            <w:r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  <w:t>联系电话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hd w:val="clear" w:color="auto" w:fill="FFFFFF"/>
              <w:spacing w:line="276" w:lineRule="auto"/>
              <w:ind w:left="130" w:leftChars="62" w:right="134" w:firstLine="480" w:firstLineChars="200"/>
              <w:rPr>
                <w:rFonts w:ascii="仿宋" w:eastAsia="仿宋" w:cs="PMingLiU"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8" w:hRule="exac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pacing w:line="280" w:lineRule="exact"/>
              <w:ind w:right="40" w:rightChars="0"/>
              <w:jc w:val="center"/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</w:pPr>
            <w:r>
              <w:rPr>
                <w:rFonts w:hint="eastAsia"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en-US" w:bidi="zh-CN"/>
              </w:rPr>
              <w:t>拍摄设备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hd w:val="clear" w:color="auto" w:fill="FFFFFF"/>
              <w:spacing w:line="276" w:lineRule="auto"/>
              <w:ind w:left="130" w:leftChars="62" w:right="134" w:rightChars="0" w:firstLine="480" w:firstLineChars="200"/>
              <w:rPr>
                <w:rFonts w:ascii="仿宋" w:eastAsia="仿宋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pacing w:line="280" w:lineRule="exact"/>
              <w:ind w:right="40" w:rightChars="0"/>
              <w:jc w:val="center"/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</w:pPr>
            <w:r>
              <w:rPr>
                <w:rFonts w:hint="eastAsia"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en-US" w:bidi="zh-CN"/>
              </w:rPr>
              <w:t>拍摄时间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hd w:val="clear" w:color="auto" w:fill="FFFFFF"/>
              <w:spacing w:line="276" w:lineRule="auto"/>
              <w:ind w:left="130" w:leftChars="62" w:right="134" w:firstLine="480" w:firstLineChars="200"/>
              <w:rPr>
                <w:rFonts w:ascii="仿宋" w:eastAsia="仿宋" w:cs="PMingLiU"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5" w:hRule="exac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pacing w:line="280" w:lineRule="exact"/>
              <w:ind w:right="40"/>
              <w:jc w:val="center"/>
              <w:rPr>
                <w:rFonts w:hint="default"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en-US" w:bidi="zh-CN"/>
              </w:rPr>
            </w:pPr>
            <w:r>
              <w:rPr>
                <w:rFonts w:hint="eastAsia"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en-US" w:bidi="zh-CN"/>
              </w:rPr>
              <w:t>邮寄地址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hd w:val="clear" w:color="auto" w:fill="FFFFFF"/>
              <w:spacing w:line="276" w:lineRule="auto"/>
              <w:ind w:left="130" w:leftChars="62" w:right="134" w:firstLine="480" w:firstLineChars="200"/>
              <w:rPr>
                <w:rFonts w:ascii="仿宋" w:eastAsia="仿宋" w:cs="PMingLiU"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1" w:hRule="exac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pacing w:line="280" w:lineRule="exact"/>
              <w:ind w:right="40"/>
              <w:jc w:val="center"/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</w:pPr>
            <w:r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  <w:t>申明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hd w:val="clear" w:color="auto" w:fill="FFFFFF"/>
              <w:spacing w:line="276" w:lineRule="auto"/>
              <w:ind w:left="130" w:leftChars="62" w:right="134" w:firstLine="480" w:firstLineChars="200"/>
              <w:rPr>
                <w:rFonts w:ascii="仿宋" w:eastAsia="仿宋" w:cs="PMingLiU"/>
                <w:color w:val="000000"/>
                <w:sz w:val="24"/>
                <w:szCs w:val="24"/>
                <w:lang w:bidi="zh-CN"/>
              </w:rPr>
            </w:pPr>
            <w:r>
              <w:rPr>
                <w:rFonts w:ascii="仿宋" w:eastAsia="仿宋" w:cs="PMingLiU"/>
                <w:color w:val="000000"/>
                <w:sz w:val="24"/>
                <w:szCs w:val="24"/>
                <w:lang w:bidi="zh-CN"/>
              </w:rPr>
              <w:t>兹承诺该作品具有独立的著作权，不存在抄袭、借用等法律问题。如出现相关问题，</w:t>
            </w:r>
            <w:r>
              <w:rPr>
                <w:rFonts w:hint="eastAsia" w:ascii="仿宋" w:eastAsia="仿宋" w:cs="PMingLiU"/>
                <w:color w:val="000000"/>
                <w:sz w:val="24"/>
                <w:szCs w:val="24"/>
                <w:lang w:val="en-US" w:bidi="zh-CN"/>
              </w:rPr>
              <w:t>申报人</w:t>
            </w:r>
            <w:r>
              <w:rPr>
                <w:rFonts w:ascii="仿宋" w:eastAsia="仿宋" w:cs="PMingLiU"/>
                <w:color w:val="000000"/>
                <w:sz w:val="24"/>
                <w:szCs w:val="24"/>
                <w:lang w:bidi="zh-CN"/>
              </w:rPr>
              <w:t>完全承担相关法律责任</w:t>
            </w:r>
            <w:r>
              <w:rPr>
                <w:rFonts w:hint="eastAsia" w:ascii="仿宋" w:eastAsia="仿宋" w:cs="PMingLiU"/>
                <w:color w:val="000000"/>
                <w:sz w:val="24"/>
                <w:szCs w:val="24"/>
                <w:lang w:bidi="zh-CN"/>
              </w:rPr>
              <w:t>。</w:t>
            </w:r>
            <w:r>
              <w:rPr>
                <w:rFonts w:hint="eastAsia" w:ascii="仿宋" w:eastAsia="仿宋" w:cs="PMingLiU"/>
                <w:color w:val="000000"/>
                <w:sz w:val="24"/>
                <w:szCs w:val="24"/>
                <w:lang w:val="en-US" w:bidi="zh-CN"/>
              </w:rPr>
              <w:t xml:space="preserve">      </w:t>
            </w:r>
            <w:r>
              <w:rPr>
                <w:rFonts w:hint="eastAsia" w:ascii="仿宋" w:eastAsia="仿宋" w:cs="PMingLiU"/>
                <w:color w:val="000000"/>
                <w:sz w:val="24"/>
                <w:szCs w:val="24"/>
                <w:lang w:val="en-US" w:eastAsia="zh-CN" w:bidi="zh-CN"/>
              </w:rPr>
              <w:t>供稿要求解释权属主办方，凡投稿者，即视为其已同意本供稿要求之所有规定。</w:t>
            </w:r>
          </w:p>
          <w:p>
            <w:pPr>
              <w:framePr w:w="9216" w:wrap="notBeside" w:vAnchor="text" w:hAnchor="page" w:x="1365" w:y="291"/>
              <w:shd w:val="clear" w:color="auto" w:fill="FFFFFF"/>
              <w:spacing w:line="276" w:lineRule="auto"/>
              <w:ind w:left="130" w:leftChars="62" w:right="134" w:firstLine="480" w:firstLineChars="200"/>
              <w:rPr>
                <w:rFonts w:ascii="仿宋" w:eastAsia="仿宋" w:cs="PMingLiU"/>
                <w:color w:val="000000"/>
                <w:sz w:val="24"/>
                <w:szCs w:val="24"/>
                <w:lang w:bidi="zh-CN"/>
              </w:rPr>
            </w:pPr>
            <w:r>
              <w:rPr>
                <w:rFonts w:ascii="仿宋" w:eastAsia="仿宋" w:cs="PMingLiU"/>
                <w:color w:val="000000"/>
                <w:sz w:val="24"/>
                <w:szCs w:val="24"/>
                <w:lang w:bidi="zh-CN"/>
              </w:rPr>
              <w:t>签字：</w:t>
            </w:r>
            <w:r>
              <w:rPr>
                <w:rFonts w:hint="eastAsia" w:ascii="仿宋" w:eastAsia="仿宋" w:cs="PMingLiU"/>
                <w:color w:val="000000"/>
                <w:sz w:val="24"/>
                <w:szCs w:val="24"/>
                <w:lang w:val="en-US" w:bidi="zh-CN"/>
              </w:rPr>
              <w:t xml:space="preserve">                   </w:t>
            </w:r>
            <w:r>
              <w:rPr>
                <w:rFonts w:ascii="仿宋" w:eastAsia="仿宋" w:cs="PMingLiU"/>
                <w:color w:val="000000"/>
                <w:sz w:val="24"/>
                <w:szCs w:val="24"/>
                <w:lang w:bidi="zh-CN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pacing w:line="280" w:lineRule="exact"/>
              <w:ind w:right="40"/>
              <w:jc w:val="center"/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</w:pPr>
            <w:r>
              <w:rPr>
                <w:rFonts w:ascii="仿宋" w:eastAsia="仿宋" w:cs="PMingLiU"/>
                <w:bCs/>
                <w:color w:val="000000"/>
                <w:sz w:val="24"/>
                <w:szCs w:val="24"/>
                <w:shd w:val="clear" w:color="auto" w:fill="FFFFFF"/>
                <w:lang w:val="zh-CN" w:bidi="zh-CN"/>
              </w:rPr>
              <w:t>备注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framePr w:w="9216" w:wrap="notBeside" w:vAnchor="text" w:hAnchor="page" w:x="1365" w:y="291"/>
              <w:shd w:val="clear" w:color="auto" w:fill="FFFFFF"/>
              <w:spacing w:line="276" w:lineRule="auto"/>
              <w:ind w:left="130" w:leftChars="62" w:right="136" w:firstLine="480" w:firstLineChars="200"/>
              <w:rPr>
                <w:rFonts w:ascii="仿宋" w:eastAsia="仿宋" w:cs="PMingLiU"/>
                <w:color w:val="000000"/>
                <w:sz w:val="24"/>
                <w:szCs w:val="24"/>
                <w:lang w:bidi="zh-CN"/>
              </w:rPr>
            </w:pPr>
          </w:p>
        </w:tc>
      </w:tr>
    </w:tbl>
    <w:p>
      <w:pPr>
        <w:numPr>
          <w:ilvl w:val="0"/>
          <w:numId w:val="0"/>
        </w:numPr>
        <w:spacing w:line="580" w:lineRule="exact"/>
        <w:ind w:leftChars="300" w:firstLine="4760" w:firstLineChars="1700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spacing w:line="580" w:lineRule="exact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附件2 ：</w:t>
      </w:r>
    </w:p>
    <w:p>
      <w:pPr>
        <w:numPr>
          <w:ilvl w:val="0"/>
          <w:numId w:val="0"/>
        </w:numPr>
        <w:spacing w:line="580" w:lineRule="exact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 w:eastAsia="zh-CN"/>
        </w:rPr>
        <w:t>“爱生活爱辽宁”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大赛作品汇总表</w:t>
      </w:r>
    </w:p>
    <w:p>
      <w:pPr>
        <w:numPr>
          <w:ilvl w:val="0"/>
          <w:numId w:val="0"/>
        </w:numPr>
        <w:spacing w:line="580" w:lineRule="exact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推荐单位：             联系人：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63"/>
        <w:gridCol w:w="2362"/>
        <w:gridCol w:w="2001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3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362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2001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作者名称</w:t>
            </w:r>
          </w:p>
        </w:tc>
        <w:tc>
          <w:tcPr>
            <w:tcW w:w="2350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580" w:lineRule="exact"/>
        <w:jc w:val="center"/>
        <w:rPr>
          <w:rFonts w:hint="default" w:ascii="宋体" w:hAnsi="宋体" w:cs="宋体"/>
          <w:sz w:val="28"/>
          <w:szCs w:val="28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spacing w:line="5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408940</wp:posOffset>
                </wp:positionV>
                <wp:extent cx="5324475" cy="0"/>
                <wp:effectExtent l="0" t="0" r="0" b="0"/>
                <wp:wrapNone/>
                <wp:docPr id="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.5pt;margin-top:32.2pt;height:0pt;width:419.25pt;z-index:251661312;mso-width-relative:page;mso-height-relative:page;" filled="f" stroked="t" coordsize="21600,21600" o:gfxdata="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a/SJtYAAAAHAQAADwAAAAAAAAABACAAAAAiAAAAZHJzL2Rvd25yZXYueG1s&#10;UEsBAhQAFAAAAAgAh07iQLR4gID6AQAA8Q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75565</wp:posOffset>
                </wp:positionV>
                <wp:extent cx="5324475" cy="0"/>
                <wp:effectExtent l="0" t="0" r="0" b="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.5pt;margin-top:5.95pt;height:0pt;width:419.25pt;z-index:251660288;mso-width-relative:page;mso-height-relative:page;" filled="f" stroked="t" coordsize="21600,21600" o:gfxdata="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d6O921QAAAAcBAAAPAAAAAAAAAAEAIAAAACIAAABkcnMvZG93bnJldi54bWxQ&#10;SwECFAAUAAAACACHTuJAgIM2cPoBAADx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</w:rPr>
        <w:t>抄报：辽宁省教育厅、国家开放大学</w:t>
      </w:r>
    </w:p>
    <w:p>
      <w:pPr>
        <w:spacing w:line="560" w:lineRule="exact"/>
        <w:jc w:val="left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400050</wp:posOffset>
                </wp:positionV>
                <wp:extent cx="5324475" cy="0"/>
                <wp:effectExtent l="0" t="0" r="0" b="0"/>
                <wp:wrapNone/>
                <wp:docPr id="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.5pt;margin-top:31.5pt;height:0pt;width:419.25pt;z-index:251659264;mso-width-relative:page;mso-height-relative:page;" filled="f" stroked="t" coordsize="21600,21600" o:gfxdata="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w1nCLVAAAABwEAAA8AAAAAAAAAAQAgAAAAIgAAAGRycy9kb3ducmV2LnhtbFBL&#10;AQIUABQAAAAIAIdO4kD9UWYe+QEAAPE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</w:rPr>
        <w:t>辽宁省社区教育指导中心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FF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2023年3月3日印发</w:t>
      </w: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MTAwYWQ0MzE4MDkwYTdjNGUwMmMyNTJiYTMwMGIifQ=="/>
  </w:docVars>
  <w:rsids>
    <w:rsidRoot w:val="00000000"/>
    <w:rsid w:val="116257E4"/>
    <w:rsid w:val="2EA1417C"/>
    <w:rsid w:val="60B5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2048</Words>
  <Characters>2116</Characters>
  <Lines>0</Lines>
  <Paragraphs>0</Paragraphs>
  <TotalTime>5</TotalTime>
  <ScaleCrop>false</ScaleCrop>
  <LinksUpToDate>false</LinksUpToDate>
  <CharactersWithSpaces>2224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2023-03-03T07:51:00Z</dcterms:created>
  <dc:creator>Administrator</dc:creator>
  <cp:lastModifiedBy>LnSyXjn</cp:lastModifiedBy>
  <cp:lastPrinted>2023-03-21T05:43:18Z</cp:lastPrinted>
  <dcterms:modified xsi:type="dcterms:W3CDTF">2023-03-21T05:54:58Z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2F8E6FEFBBCB405BA5D08E75924F4636</vt:lpwstr>
  </property>
</Properties>
</file>