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pStyle w:val="2"/>
        <w:rPr>
          <w:rFonts w:hint="eastAsia"/>
          <w:lang w:eastAsia="zh-CN"/>
        </w:rPr>
      </w:pPr>
    </w:p>
    <w:p>
      <w:pPr>
        <w:rPr>
          <w:rFonts w:hint="eastAsia" w:eastAsiaTheme="minorEastAsia"/>
          <w:lang w:eastAsia="zh-CN"/>
        </w:rPr>
      </w:pPr>
    </w:p>
    <w:p>
      <w:pPr>
        <w:pStyle w:val="2"/>
        <w:rPr>
          <w:rFonts w:hint="eastAsia" w:eastAsiaTheme="minorEastAsia"/>
          <w:lang w:eastAsia="zh-CN"/>
        </w:rPr>
      </w:pPr>
    </w:p>
    <w:p>
      <w:pPr>
        <w:rPr>
          <w:rFonts w:hint="eastAsia" w:eastAsiaTheme="minorEastAsia"/>
          <w:lang w:eastAsia="zh-CN"/>
        </w:rPr>
      </w:pPr>
    </w:p>
    <w:p>
      <w:pPr>
        <w:pStyle w:val="2"/>
        <w:rPr>
          <w:rFonts w:hint="eastAsia"/>
          <w:lang w:eastAsia="zh-CN"/>
        </w:rPr>
      </w:pPr>
    </w:p>
    <w:p>
      <w:pPr>
        <w:pStyle w:val="2"/>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eastAsia="zh-CN"/>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lang w:eastAsia="zh-CN"/>
        </w:rPr>
      </w:pPr>
    </w:p>
    <w:p>
      <w:pPr>
        <w:pStyle w:val="2"/>
        <w:jc w:val="center"/>
        <w:rPr>
          <w:rFonts w:hint="eastAsia" w:ascii="仿宋" w:hAnsi="仿宋" w:eastAsia="仿宋" w:cs="仿宋"/>
          <w:lang w:val="en-US" w:eastAsia="zh-CN"/>
        </w:rPr>
      </w:pPr>
      <w:r>
        <w:rPr>
          <w:rFonts w:hint="eastAsia" w:ascii="仿宋" w:hAnsi="仿宋" w:eastAsia="仿宋" w:cs="仿宋"/>
          <w:lang w:eastAsia="zh-CN"/>
        </w:rPr>
        <w:t>辽社指</w:t>
      </w:r>
      <w:r>
        <w:rPr>
          <w:rFonts w:hint="eastAsia" w:ascii="仿宋" w:hAnsi="仿宋" w:eastAsia="仿宋" w:cs="仿宋"/>
          <w:lang w:val="en-US" w:eastAsia="zh-CN"/>
        </w:rPr>
        <w:t>[2023]6号</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eastAsia="zh-CN"/>
        </w:rPr>
      </w:pPr>
    </w:p>
    <w:p>
      <w:pPr>
        <w:jc w:val="center"/>
        <w:rPr>
          <w:rFonts w:hint="eastAsia" w:cs="黑体" w:asciiTheme="majorEastAsia" w:hAnsiTheme="majorEastAsia" w:eastAsiaTheme="majorEastAsia"/>
          <w:b/>
          <w:sz w:val="40"/>
          <w:szCs w:val="40"/>
          <w:lang w:val="en-US" w:eastAsia="zh-CN"/>
        </w:rPr>
      </w:pPr>
      <w:r>
        <w:rPr>
          <w:rFonts w:hint="eastAsia" w:cs="黑体" w:asciiTheme="majorEastAsia" w:hAnsiTheme="majorEastAsia" w:eastAsiaTheme="majorEastAsia"/>
          <w:b/>
          <w:sz w:val="40"/>
          <w:szCs w:val="40"/>
        </w:rPr>
        <w:t>关于</w:t>
      </w:r>
      <w:r>
        <w:rPr>
          <w:rFonts w:hint="eastAsia" w:cs="黑体" w:asciiTheme="majorEastAsia" w:hAnsiTheme="majorEastAsia" w:eastAsiaTheme="majorEastAsia"/>
          <w:b/>
          <w:sz w:val="40"/>
          <w:szCs w:val="40"/>
          <w:lang w:val="en-US" w:eastAsia="zh-CN"/>
        </w:rPr>
        <w:t>公布</w:t>
      </w:r>
      <w:r>
        <w:rPr>
          <w:rFonts w:hint="eastAsia" w:cs="黑体" w:asciiTheme="majorEastAsia" w:hAnsiTheme="majorEastAsia" w:eastAsiaTheme="majorEastAsia"/>
          <w:b/>
          <w:sz w:val="40"/>
          <w:szCs w:val="40"/>
        </w:rPr>
        <w:t>社区教育案例展播评</w:t>
      </w:r>
      <w:r>
        <w:rPr>
          <w:rFonts w:hint="eastAsia" w:cs="黑体" w:asciiTheme="majorEastAsia" w:hAnsiTheme="majorEastAsia" w:eastAsiaTheme="majorEastAsia"/>
          <w:b/>
          <w:sz w:val="40"/>
          <w:szCs w:val="40"/>
          <w:lang w:val="en-US" w:eastAsia="zh-CN"/>
        </w:rPr>
        <w:t>选活动最佳人气</w:t>
      </w:r>
    </w:p>
    <w:p>
      <w:pPr>
        <w:jc w:val="center"/>
        <w:rPr>
          <w:rFonts w:hint="eastAsia" w:cs="黑体" w:asciiTheme="majorEastAsia" w:hAnsiTheme="majorEastAsia" w:eastAsiaTheme="majorEastAsia"/>
          <w:b/>
          <w:sz w:val="40"/>
          <w:szCs w:val="40"/>
        </w:rPr>
      </w:pPr>
      <w:r>
        <w:rPr>
          <w:rFonts w:hint="eastAsia" w:cs="黑体" w:asciiTheme="majorEastAsia" w:hAnsiTheme="majorEastAsia" w:eastAsiaTheme="majorEastAsia"/>
          <w:b/>
          <w:sz w:val="40"/>
          <w:szCs w:val="40"/>
          <w:lang w:val="en-US" w:eastAsia="zh-CN"/>
        </w:rPr>
        <w:t>百姓学习之星、终身学习品牌项目、社区教育院校和优秀组织单位名单</w:t>
      </w:r>
      <w:r>
        <w:rPr>
          <w:rFonts w:hint="eastAsia" w:cs="黑体" w:asciiTheme="majorEastAsia" w:hAnsiTheme="majorEastAsia" w:eastAsiaTheme="majorEastAsia"/>
          <w:b/>
          <w:sz w:val="40"/>
          <w:szCs w:val="40"/>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bCs/>
          <w:sz w:val="32"/>
          <w:szCs w:val="32"/>
        </w:rPr>
      </w:pPr>
      <w:r>
        <w:rPr>
          <w:rFonts w:hint="eastAsia" w:ascii="仿宋_GB2312" w:hAnsi="仿宋" w:eastAsia="仿宋_GB2312" w:cs="仿宋"/>
          <w:sz w:val="32"/>
          <w:szCs w:val="32"/>
        </w:rPr>
        <w:t>各市社区教育指导中心、开放大学、社区学院、老年大学、</w:t>
      </w:r>
      <w:r>
        <w:rPr>
          <w:rFonts w:hint="eastAsia" w:ascii="仿宋_GB2312" w:hAnsi="仿宋" w:eastAsia="仿宋_GB2312" w:cs="仿宋"/>
          <w:sz w:val="32"/>
          <w:szCs w:val="32"/>
          <w:lang w:val="en-US" w:eastAsia="zh-CN"/>
        </w:rPr>
        <w:t>家长学校、</w:t>
      </w:r>
      <w:r>
        <w:rPr>
          <w:rFonts w:hint="eastAsia" w:ascii="仿宋_GB2312" w:hAnsi="仿宋" w:eastAsia="仿宋_GB2312" w:cs="仿宋"/>
          <w:sz w:val="32"/>
          <w:szCs w:val="32"/>
        </w:rPr>
        <w:t>社区（老年）学习中心：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为庆祝中国共产党第二十次全国代表大会的胜利召开，全面展示我省全民学习风采，根据省社区教育指导中心《关于开展“庆祝二十大 全民共学习”社区教育案例展播评选的通知》（辽社指[2022]20号）要求，经各市遴选推荐，网上投票，省社区教育指导中心和辽宁日报北国客户端共同评选出丹东市社区教育指导中心</w:t>
      </w:r>
      <w:r>
        <w:rPr>
          <w:rFonts w:hint="eastAsia" w:ascii="仿宋" w:hAnsi="仿宋" w:eastAsia="仿宋" w:cs="仿宋"/>
          <w:i w:val="0"/>
          <w:iCs w:val="0"/>
          <w:color w:val="000000"/>
          <w:kern w:val="0"/>
          <w:sz w:val="32"/>
          <w:szCs w:val="32"/>
          <w:u w:val="none"/>
          <w:lang w:val="en-US" w:eastAsia="zh-CN" w:bidi="ar"/>
        </w:rPr>
        <w:t>谭喜龙等</w:t>
      </w:r>
      <w:r>
        <w:rPr>
          <w:rFonts w:hint="eastAsia" w:ascii="仿宋" w:hAnsi="仿宋" w:eastAsia="仿宋" w:cs="仿宋"/>
          <w:bCs/>
          <w:sz w:val="32"/>
          <w:szCs w:val="32"/>
          <w:lang w:val="en-US" w:eastAsia="zh-CN"/>
        </w:rPr>
        <w:t>十个最佳人气百姓学习之星、朝阳市社区教育指导中心</w:t>
      </w:r>
      <w:r>
        <w:rPr>
          <w:rFonts w:hint="eastAsia" w:ascii="仿宋" w:hAnsi="仿宋" w:eastAsia="仿宋" w:cs="仿宋"/>
          <w:i w:val="0"/>
          <w:iCs w:val="0"/>
          <w:color w:val="000000"/>
          <w:kern w:val="0"/>
          <w:sz w:val="32"/>
          <w:szCs w:val="32"/>
          <w:u w:val="none"/>
          <w:lang w:val="en-US" w:eastAsia="zh-CN" w:bidi="ar"/>
        </w:rPr>
        <w:t>“音乐的力量：红色经典歌曲背后的故事”等</w:t>
      </w:r>
      <w:r>
        <w:rPr>
          <w:rFonts w:hint="eastAsia" w:ascii="仿宋" w:hAnsi="仿宋" w:eastAsia="仿宋" w:cs="仿宋"/>
          <w:bCs/>
          <w:sz w:val="32"/>
          <w:szCs w:val="32"/>
          <w:lang w:val="en-US" w:eastAsia="zh-CN"/>
        </w:rPr>
        <w:t>十个最佳人气终身学习品牌项目、葫芦岛</w:t>
      </w:r>
      <w:r>
        <w:rPr>
          <w:rFonts w:hint="eastAsia" w:ascii="仿宋" w:hAnsi="仿宋" w:eastAsia="仿宋" w:cs="仿宋"/>
          <w:i w:val="0"/>
          <w:iCs w:val="0"/>
          <w:color w:val="000000"/>
          <w:kern w:val="0"/>
          <w:sz w:val="32"/>
          <w:szCs w:val="32"/>
          <w:u w:val="none"/>
          <w:lang w:val="en-US" w:eastAsia="zh-CN" w:bidi="ar"/>
        </w:rPr>
        <w:t>市社区教育指导中心建昌县老干部大学等</w:t>
      </w:r>
      <w:r>
        <w:rPr>
          <w:rFonts w:hint="eastAsia" w:ascii="仿宋" w:hAnsi="仿宋" w:eastAsia="仿宋" w:cs="仿宋"/>
          <w:bCs/>
          <w:sz w:val="32"/>
          <w:szCs w:val="32"/>
          <w:lang w:val="en-US" w:eastAsia="zh-CN"/>
        </w:rPr>
        <w:t>十个最佳人气社区教育院校和</w:t>
      </w:r>
      <w:r>
        <w:rPr>
          <w:rFonts w:hint="eastAsia" w:ascii="仿宋" w:hAnsi="仿宋" w:eastAsia="仿宋" w:cs="仿宋"/>
          <w:i w:val="0"/>
          <w:iCs w:val="0"/>
          <w:color w:val="000000"/>
          <w:kern w:val="0"/>
          <w:sz w:val="32"/>
          <w:szCs w:val="32"/>
          <w:u w:val="none"/>
          <w:lang w:val="en-US" w:eastAsia="zh-CN" w:bidi="ar"/>
        </w:rPr>
        <w:t>沈阳市社区教育服务指导中心等</w:t>
      </w:r>
      <w:r>
        <w:rPr>
          <w:rFonts w:hint="eastAsia" w:ascii="仿宋" w:hAnsi="仿宋" w:eastAsia="仿宋" w:cs="仿宋"/>
          <w:bCs/>
          <w:sz w:val="32"/>
          <w:szCs w:val="32"/>
          <w:lang w:val="en-US" w:eastAsia="zh-CN"/>
        </w:rPr>
        <w:t>八个优秀组织单位，现将获奖名单予以公布（具体名单见附件）。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bCs/>
          <w:sz w:val="32"/>
          <w:szCs w:val="32"/>
          <w:lang w:val="en-US" w:eastAsia="zh-CN"/>
        </w:rPr>
      </w:pPr>
      <w:r>
        <w:rPr>
          <w:rFonts w:ascii="仿宋" w:hAnsi="仿宋" w:eastAsia="仿宋" w:cs="仿宋"/>
          <w:color w:val="000000"/>
          <w:kern w:val="0"/>
          <w:sz w:val="31"/>
          <w:szCs w:val="31"/>
          <w:lang w:val="en-US" w:eastAsia="zh-CN" w:bidi="ar"/>
        </w:rPr>
        <w:t>请各单位</w:t>
      </w:r>
      <w:r>
        <w:rPr>
          <w:rFonts w:hint="eastAsia" w:ascii="仿宋" w:hAnsi="仿宋" w:eastAsia="仿宋" w:cs="仿宋"/>
          <w:color w:val="000000"/>
          <w:kern w:val="0"/>
          <w:sz w:val="31"/>
          <w:szCs w:val="31"/>
          <w:lang w:val="en-US" w:eastAsia="zh-CN" w:bidi="ar"/>
        </w:rPr>
        <w:t>深入开展宣传推介，</w:t>
      </w:r>
      <w:r>
        <w:rPr>
          <w:rFonts w:hint="eastAsia" w:ascii="方正仿宋_GB2312" w:hAnsi="仿宋" w:eastAsia="方正仿宋_GB2312" w:cs="仿宋"/>
          <w:bCs/>
          <w:sz w:val="32"/>
          <w:szCs w:val="32"/>
          <w:lang w:val="en-US" w:eastAsia="zh-CN"/>
        </w:rPr>
        <w:t>发挥示范和引领作用，弘扬终身学习精神，</w:t>
      </w:r>
      <w:r>
        <w:rPr>
          <w:rFonts w:hint="eastAsia" w:ascii="仿宋" w:hAnsi="仿宋" w:eastAsia="仿宋" w:cs="仿宋"/>
          <w:bCs/>
          <w:sz w:val="32"/>
          <w:szCs w:val="32"/>
          <w:lang w:val="en-US" w:eastAsia="zh-CN"/>
        </w:rPr>
        <w:t>引导各级各类学校和社会力量共同推动社区教育发展，</w:t>
      </w:r>
      <w:r>
        <w:rPr>
          <w:rFonts w:hint="eastAsia" w:ascii="方正仿宋_GB2312" w:hAnsi="仿宋" w:eastAsia="方正仿宋_GB2312" w:cs="仿宋"/>
          <w:bCs/>
          <w:sz w:val="32"/>
          <w:szCs w:val="32"/>
        </w:rPr>
        <w:t>营造良好的</w:t>
      </w:r>
      <w:r>
        <w:rPr>
          <w:rFonts w:hint="eastAsia" w:ascii="方正仿宋_GB2312" w:hAnsi="仿宋" w:eastAsia="方正仿宋_GB2312" w:cs="仿宋"/>
          <w:bCs/>
          <w:sz w:val="32"/>
          <w:szCs w:val="32"/>
          <w:lang w:val="en-US" w:eastAsia="zh-CN"/>
        </w:rPr>
        <w:t>终身学习</w:t>
      </w:r>
      <w:r>
        <w:rPr>
          <w:rFonts w:hint="eastAsia" w:ascii="方正仿宋_GB2312" w:hAnsi="仿宋" w:eastAsia="方正仿宋_GB2312" w:cs="仿宋"/>
          <w:bCs/>
          <w:sz w:val="32"/>
          <w:szCs w:val="32"/>
        </w:rPr>
        <w:t>氛围</w:t>
      </w:r>
      <w:r>
        <w:rPr>
          <w:rFonts w:hint="eastAsia" w:ascii="方正仿宋_GB2312" w:hAnsi="仿宋" w:eastAsia="方正仿宋_GB2312" w:cs="仿宋"/>
          <w:bCs/>
          <w:sz w:val="32"/>
          <w:szCs w:val="32"/>
          <w:lang w:eastAsia="zh-CN"/>
        </w:rPr>
        <w:t>，</w:t>
      </w:r>
      <w:r>
        <w:rPr>
          <w:rFonts w:hint="eastAsia" w:ascii="方正仿宋_GB2312" w:hAnsi="仿宋" w:eastAsia="方正仿宋_GB2312" w:cs="仿宋"/>
          <w:bCs/>
          <w:sz w:val="32"/>
          <w:szCs w:val="32"/>
          <w:lang w:val="en-US" w:eastAsia="zh-CN"/>
        </w:rPr>
        <w:t>助力</w:t>
      </w:r>
      <w:r>
        <w:rPr>
          <w:rFonts w:hint="eastAsia" w:ascii="方正仿宋_GB2312" w:hAnsi="仿宋" w:eastAsia="方正仿宋_GB2312" w:cs="仿宋"/>
          <w:bCs/>
          <w:sz w:val="32"/>
          <w:szCs w:val="32"/>
        </w:rPr>
        <w:t>学习型社会建设。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1.最佳人气百姓学习之星名单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2.最佳人气终身学习品牌项目名单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3.最佳人气优秀社区教育院校名单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4.优秀组织单位获奖名单</w:t>
      </w:r>
    </w:p>
    <w:p>
      <w:pPr>
        <w:rPr>
          <w:rFonts w:hint="eastAsia" w:eastAsiaTheme="minorEastAsia"/>
          <w:lang w:eastAsia="zh-CN"/>
        </w:rPr>
      </w:pPr>
    </w:p>
    <w:p>
      <w:pPr>
        <w:pStyle w:val="2"/>
        <w:rPr>
          <w:rFonts w:hint="default" w:eastAsiaTheme="minorEastAsia"/>
          <w:lang w:val="en-US" w:eastAsia="zh-CN"/>
        </w:rPr>
      </w:pPr>
      <w:r>
        <w:rPr>
          <w:rFonts w:hint="eastAsia" w:eastAsiaTheme="minorEastAsia"/>
          <w:lang w:val="en-US" w:eastAsia="zh-CN"/>
        </w:rPr>
        <w:t xml:space="preserve">    </w:t>
      </w:r>
    </w:p>
    <w:p>
      <w:p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辽宁省社区教育指导中心</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2023年3月13日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lang w:val="en-US" w:eastAsia="zh-CN"/>
        </w:rPr>
      </w:pPr>
    </w:p>
    <w:p>
      <w:pPr>
        <w:rPr>
          <w:rFonts w:hint="eastAsia"/>
          <w:lang w:eastAsia="zh-CN"/>
        </w:rPr>
      </w:pPr>
    </w:p>
    <w:p>
      <w:pPr>
        <w:rPr>
          <w:rFonts w:hint="eastAsia"/>
          <w:lang w:eastAsia="zh-CN"/>
        </w:rPr>
      </w:pPr>
      <w:r>
        <w:rPr>
          <w:rFonts w:hint="eastAsia"/>
          <w:lang w:eastAsia="zh-CN"/>
        </w:rPr>
        <w:br w:type="page"/>
      </w:r>
    </w:p>
    <w:p>
      <w:pPr>
        <w:spacing w:line="500" w:lineRule="exact"/>
        <w:rPr>
          <w:rFonts w:hint="eastAsia" w:ascii="黑体" w:hAnsi="黑体" w:eastAsia="黑体" w:cs="黑体"/>
          <w:b/>
          <w:spacing w:val="-6"/>
          <w:sz w:val="36"/>
          <w:szCs w:val="36"/>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szCs w:val="32"/>
          <w:lang w:eastAsia="zh-CN"/>
        </w:rPr>
      </w:pPr>
      <w:r>
        <w:rPr>
          <w:rFonts w:hint="eastAsia" w:ascii="宋体" w:hAnsi="宋体" w:cs="宋体"/>
          <w:b/>
          <w:spacing w:val="-6"/>
          <w:sz w:val="32"/>
          <w:szCs w:val="32"/>
          <w:lang w:val="en-US" w:eastAsia="zh-CN"/>
        </w:rPr>
        <w:t>最佳人气</w:t>
      </w:r>
      <w:r>
        <w:rPr>
          <w:rFonts w:hint="eastAsia" w:ascii="宋体" w:hAnsi="宋体" w:eastAsia="宋体" w:cs="宋体"/>
          <w:b/>
          <w:spacing w:val="-6"/>
          <w:sz w:val="32"/>
          <w:szCs w:val="32"/>
          <w:lang w:val="en-US" w:eastAsia="zh-CN"/>
        </w:rPr>
        <w:t>百姓学习之星名单</w:t>
      </w:r>
    </w:p>
    <w:tbl>
      <w:tblPr>
        <w:tblStyle w:val="3"/>
        <w:tblW w:w="7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9"/>
        <w:gridCol w:w="3332"/>
        <w:gridCol w:w="2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3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获奖名单</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所在市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谭喜龙</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丹东市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于春娟</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丹东市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岑梓萌</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本溪市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王国伟</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张泽</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朝阳市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周淑英</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本溪市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李艺卓</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丹东市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杨丽</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黄艳春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葫芦岛市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33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李鹏</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铁岭市</w:t>
            </w:r>
          </w:p>
        </w:tc>
      </w:tr>
    </w:tbl>
    <w:p>
      <w:pPr>
        <w:jc w:val="center"/>
        <w:rPr>
          <w:rFonts w:hint="eastAsia" w:eastAsia="宋体"/>
          <w:lang w:eastAsia="zh-CN"/>
        </w:rPr>
      </w:pPr>
    </w:p>
    <w:p>
      <w:pPr>
        <w:rPr>
          <w:rFonts w:hint="eastAsia" w:eastAsia="宋体"/>
          <w:lang w:eastAsia="zh-CN"/>
        </w:rPr>
      </w:pPr>
    </w:p>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宋体" w:hAnsi="宋体" w:cs="宋体"/>
          <w:b/>
          <w:spacing w:val="-6"/>
          <w:sz w:val="32"/>
          <w:szCs w:val="32"/>
          <w:lang w:val="en-US" w:eastAsia="zh-CN"/>
        </w:rPr>
        <w:t>最佳人气</w:t>
      </w:r>
      <w:r>
        <w:rPr>
          <w:rFonts w:hint="eastAsia" w:ascii="宋体" w:hAnsi="宋体" w:eastAsia="宋体" w:cs="宋体"/>
          <w:b/>
          <w:bCs/>
          <w:i w:val="0"/>
          <w:iCs w:val="0"/>
          <w:color w:val="000000"/>
          <w:kern w:val="0"/>
          <w:sz w:val="32"/>
          <w:szCs w:val="32"/>
          <w:u w:val="none"/>
          <w:lang w:val="en-US" w:eastAsia="zh-CN" w:bidi="ar"/>
        </w:rPr>
        <w:t>终身学习品牌项目名单</w:t>
      </w:r>
    </w:p>
    <w:tbl>
      <w:tblPr>
        <w:tblStyle w:val="3"/>
        <w:tblpPr w:leftFromText="180" w:rightFromText="180" w:vertAnchor="text" w:horzAnchor="page" w:tblpX="2068" w:tblpY="392"/>
        <w:tblOverlap w:val="never"/>
        <w:tblW w:w="81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2"/>
        <w:gridCol w:w="4922"/>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序号</w:t>
            </w:r>
          </w:p>
        </w:tc>
        <w:tc>
          <w:tcPr>
            <w:tcW w:w="4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获奖品牌</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所在市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“云”端教学 同“屏”共振</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丹东市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音乐的力量：红色经典歌曲背后的故事</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朝阳市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本溪满族自治县红色书友会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本溪市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阅读在此刻：在书香沁润中与这座城市共同成长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葫芦岛市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母亲教育</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妇女儿童之家</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青少年科技创新大赛</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亦蘭书院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沈阳市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缘园爱能赢父母大学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4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向阳花老年大学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葫芦岛市</w:t>
            </w:r>
          </w:p>
        </w:tc>
      </w:tr>
    </w:tbl>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b/>
          <w:spacing w:val="-6"/>
          <w:sz w:val="32"/>
          <w:szCs w:val="32"/>
          <w:lang w:val="en-US" w:eastAsia="zh-CN"/>
        </w:rPr>
      </w:pPr>
      <w:r>
        <w:rPr>
          <w:rFonts w:hint="eastAsia" w:ascii="宋体" w:hAnsi="宋体" w:cs="宋体"/>
          <w:b/>
          <w:spacing w:val="-6"/>
          <w:sz w:val="32"/>
          <w:szCs w:val="32"/>
          <w:lang w:val="en-US" w:eastAsia="zh-CN"/>
        </w:rPr>
        <w:t>最佳人气</w:t>
      </w:r>
      <w:r>
        <w:rPr>
          <w:rFonts w:hint="eastAsia" w:ascii="宋体" w:hAnsi="宋体" w:eastAsia="宋体" w:cs="宋体"/>
          <w:b/>
          <w:spacing w:val="-6"/>
          <w:sz w:val="32"/>
          <w:szCs w:val="32"/>
          <w:lang w:val="en-US" w:eastAsia="zh-CN"/>
        </w:rPr>
        <w:t>优秀社区教育院校名单</w:t>
      </w:r>
    </w:p>
    <w:tbl>
      <w:tblPr>
        <w:tblStyle w:val="3"/>
        <w:tblW w:w="7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4859"/>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获奖学院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所在市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朝阳建平社区教育学院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朝阳市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葫芦岛建昌县老干部大学</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葫芦岛市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铁岭市居然社区老年大学</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铁岭昌图老年大学</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铁岭市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大连甘井子社区培训中心</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大连市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丹东市新村社区家长学校</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丹东市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营口职业技术学院继续教育学院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营口市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大连市普兰店区杨树房街道赵家村优秀社区学校</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大连市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沈阳市和平区社区学院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沈阳市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沈阳法库县社区学院</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沈阳市</w:t>
            </w:r>
          </w:p>
        </w:tc>
      </w:tr>
    </w:tbl>
    <w:p>
      <w:pPr>
        <w:jc w:val="center"/>
        <w:rPr>
          <w:rFonts w:hint="eastAsia" w:ascii="方正仿宋_GB2312" w:hAnsi="方正仿宋_GB2312" w:eastAsia="方正仿宋_GB2312" w:cs="Times New Roman"/>
          <w:b/>
          <w:spacing w:val="-6"/>
          <w:sz w:val="36"/>
          <w:szCs w:val="36"/>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仿宋" w:hAnsi="仿宋" w:eastAsia="仿宋" w:cs="仿宋"/>
          <w:sz w:val="32"/>
          <w:szCs w:val="32"/>
          <w:lang w:val="en-US" w:eastAsia="zh-CN"/>
        </w:rPr>
      </w:pP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宋体" w:hAnsi="宋体" w:eastAsia="宋体" w:cs="宋体"/>
          <w:b/>
          <w:spacing w:val="-6"/>
          <w:sz w:val="32"/>
          <w:szCs w:val="32"/>
          <w:lang w:val="en-US" w:eastAsia="zh-CN"/>
        </w:rPr>
      </w:pPr>
      <w:r>
        <w:rPr>
          <w:rFonts w:hint="eastAsia" w:ascii="宋体" w:hAnsi="宋体" w:eastAsia="宋体" w:cs="宋体"/>
          <w:b/>
          <w:spacing w:val="-6"/>
          <w:sz w:val="32"/>
          <w:szCs w:val="32"/>
          <w:lang w:val="en-US" w:eastAsia="zh-CN"/>
        </w:rPr>
        <w:t>优秀组织</w:t>
      </w:r>
      <w:r>
        <w:rPr>
          <w:rFonts w:hint="eastAsia" w:ascii="宋体" w:hAnsi="宋体" w:cs="宋体"/>
          <w:b/>
          <w:spacing w:val="-6"/>
          <w:sz w:val="32"/>
          <w:szCs w:val="32"/>
          <w:lang w:val="en-US" w:eastAsia="zh-CN"/>
        </w:rPr>
        <w:t>单位</w:t>
      </w:r>
      <w:r>
        <w:rPr>
          <w:rFonts w:hint="eastAsia" w:ascii="宋体" w:hAnsi="宋体" w:eastAsia="宋体" w:cs="宋体"/>
          <w:b/>
          <w:spacing w:val="-6"/>
          <w:sz w:val="32"/>
          <w:szCs w:val="32"/>
          <w:lang w:val="en-US" w:eastAsia="zh-CN"/>
        </w:rPr>
        <w:t>名单</w:t>
      </w:r>
    </w:p>
    <w:tbl>
      <w:tblPr>
        <w:tblStyle w:val="3"/>
        <w:tblW w:w="7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9"/>
        <w:gridCol w:w="4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获奖单位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4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沈阳市社区教育服务指导中心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大连市社区教育指导中心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本溪市社区教育指导中心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丹东市社区教育指导中心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营口市社区教育指导中心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铁岭市社区教育指导中心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朝阳市社区教育指导中心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49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葫芦岛市社区教育指导中心</w:t>
            </w:r>
          </w:p>
        </w:tc>
      </w:tr>
    </w:tbl>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2312" w:hAnsi="仿宋" w:eastAsia="方正仿宋_GB2312" w:cs="仿宋"/>
          <w:bCs/>
          <w:sz w:val="32"/>
          <w:szCs w:val="32"/>
          <w:lang w:val="en-US" w:eastAsia="zh-CN"/>
        </w:rPr>
      </w:pPr>
    </w:p>
    <w:p>
      <w:pPr>
        <w:rPr>
          <w:sz w:val="32"/>
          <w:szCs w:val="32"/>
        </w:rPr>
      </w:pPr>
    </w:p>
    <w:p>
      <w:pPr>
        <w:spacing w:line="560" w:lineRule="exact"/>
        <w:rPr>
          <w:rFonts w:hint="eastAsia" w:ascii="仿宋_GB2312" w:hAnsi="仿宋_GB2312" w:eastAsia="仿宋_GB2312" w:cs="仿宋_GB2312"/>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9525</wp:posOffset>
                </wp:positionV>
                <wp:extent cx="5672455" cy="0"/>
                <wp:effectExtent l="0" t="0" r="0" b="0"/>
                <wp:wrapNone/>
                <wp:docPr id="3" name="直接连接符 3"/>
                <wp:cNvGraphicFramePr/>
                <a:graphic xmlns:a="http://schemas.openxmlformats.org/drawingml/2006/main">
                  <a:graphicData uri="http://schemas.microsoft.com/office/word/2010/wordprocessingShape">
                    <wps:wsp>
                      <wps:cNvCnPr/>
                      <wps:spPr>
                        <a:xfrm>
                          <a:off x="889000" y="8331835"/>
                          <a:ext cx="567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pt;margin-top:0.75pt;height:0pt;width:446.65pt;z-index:251659264;mso-width-relative:page;mso-height-relative:page;" filled="f" stroked="t" coordsize="21600,21600" o:gfxdata="UEsDBAoAAAAAAIdO4kAAAAAAAAAAAAAAAAAEAAAAZHJzL1BLAwQUAAAACACHTuJAhOomotMAAAAG&#10;AQAADwAAAGRycy9kb3ducmV2LnhtbE2OMU/DMBCFdyT+g3VIbK1TREkIcTogMSAhAYGB0Y2vcSA+&#10;B9tNwr/nYIHx3Xv67qt2ixvEhCH2nhRs1hkIpNabnjoFry93qwJETJqMHjyhgi+MsKtPTypdGj/T&#10;M05N6gRDKJZagU1pLKWMrUWn49qPSNwdfHA6cQydNEHPDHeDvMiyK+l0T/zB6hFvLbYfzdExhfLP&#10;wzKEt6fHB1s08zveTzkqdX62yW5AJFzS3xh+9Fkdanba+yOZKAYFq+0lL/m+BcF1UeTXIPa/WdaV&#10;/K9ffwNQSwMEFAAAAAgAh07iQPEinifUAQAAbgMAAA4AAABkcnMvZTJvRG9jLnhtbK1TzY7TMBC+&#10;I/EOlu80aUNKN2q6h62WC4JKwAO4jp1Y8p88pmlfghdA4gYnjtx5m10eg7HT/QFuiBwmY8/4m/k+&#10;j9eXR6PJQQRQzrZ0PispEZa7Ttm+pe/fXT9bUQKR2Y5pZ0VLTwLo5ebpk/XoG7Fwg9OdCARBLDSj&#10;b+kQo2+KAvggDIOZ88JiULpgWMRl6IsusBHRjS4WZbksRhc6HxwXALi7nYJ0k/GlFDy+kRJEJLql&#10;2FvMNmS7T7bYrFnTB+YHxc9tsH/owjBlseg91JZFRj4E9ReUUTw4cDLOuDOFk1JxkTkgm3n5B5u3&#10;A/Mic0FxwN/LBP8Plr8+7AJRXUsrSiwzeEW3n77ffPzy88dntLffvpIqiTR6aDD3yu7CeQV+FxLj&#10;owwm/ZELObZ0tbooS1T6hG5VzVdVPWksjpFwjNfLF4vndU0Jx4ysf/GA4QPEl8IZkpyWamUTfdaw&#10;wyuIWBdT71LStnXXSut8hdqSsaXLqsbSnOEgSc0iusYjNbA9JUz3OKE8howITqsunU44EPr9lQ7k&#10;wNKU5C81jdV+S0ultwyGKS+HJm5GRRxirQxyfnxaWwRJyk1aJW/vulOWMO/jpeYy5wFMU/N4nU8/&#10;PJP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TqJqLTAAAABgEAAA8AAAAAAAAAAQAgAAAAIgAA&#10;AGRycy9kb3ducmV2LnhtbFBLAQIUABQAAAAIAIdO4kDxIp4n1AEAAG4DAAAOAAAAAAAAAAEAIAAA&#10;ACIBAABkcnMvZTJvRG9jLnhtbFBLBQYAAAAABgAGAFkBAABo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w:t>抄报：辽宁省教育厅、国家开放大学</w:t>
      </w:r>
    </w:p>
    <w:p>
      <w:pPr>
        <w:spacing w:line="560" w:lineRule="exact"/>
        <w:jc w:val="left"/>
        <w:rPr>
          <w:rFonts w:ascii="仿宋" w:hAnsi="仿宋" w:eastAsia="仿宋" w:cs="宋体"/>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34925</wp:posOffset>
                </wp:positionV>
                <wp:extent cx="56724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pt;margin-top:2.75pt;height:0pt;width:446.65pt;z-index:251660288;mso-width-relative:page;mso-height-relative:page;" filled="f" stroked="t" coordsize="21600,21600" o:gfxdata="UEsDBAoAAAAAAIdO4kAAAAAAAAAAAAAAAAAEAAAAZHJzL1BLAwQUAAAACACHTuJAHPKS4dMAAAAG&#10;AQAADwAAAGRycy9kb3ducmV2LnhtbE2OsU7DMBRFdyT+wXpIbK2TSqFWiNOhEgMSEhAYGN34NQ61&#10;n0PsJuHvMSx0vLpX555qtzjLJhxD70lCvs6AIbVe99RJeH97WAlgISrSynpCCd8YYFdfX1Wq1H6m&#10;V5ya2LEEoVAqCSbGoeQ8tAadCms/IKXu6EenYopjx/Wo5gR3lm+y7I471VN6MGrAvcH21JxdotD2&#10;67jY8ePl+cmIZv7Ex2mLUt7e5Nk9sIhL/B/Dr35Shzo5HfyZdGBWwqrYpKWEogCWaiFEDuzwl3ld&#10;8Uv9+gdQSwMEFAAAAAgAh07iQJ90f1nIAQAAYwMAAA4AAABkcnMvZTJvRG9jLnhtbK1TzW4TMRC+&#10;I/EOlu9k05CEapVND43KBUEk6ANMvPauJf/JY7LJS/ACSNzgxJE7b0P7GB07aVrorSKHiT0/3/j7&#10;ZnZxsbOGbWVE7V3Dz0ZjzqQTvtWua/j1p6tX55xhAteC8U42fC+RXyxfvlgMoZYT33vTysgIxGE9&#10;hIb3KYW6qlD00gKOfJCOgspHC4musavaCAOhW1NNxuN5NfjYhuiFRCTv6hDky4KvlBTpg1IoEzMN&#10;p7elYmOxm2yr5QLqLkLotTg+A57xCgvaUdMT1AoSsM9RP4GyWkSPXqWR8LbySmkhCwdiczb+h83H&#10;HoIsXEgcDCeZ8P/BivfbdWS6bfiUMweWRnTz9defL99vf38je/PzB5tmkYaANeVeunU83jCsY2a8&#10;U9Hmf+LCdkXY/UlYuUtMkHM2fzOZzmaciftY9VAYIqa30luWDw032mXOUMP2HSZqRqn3Kdnt/JU2&#10;pszNODY0fP56RpMVQNujDCQ62kB80HWcgeloLUWKBRG90W2uzjgYu82liWwLeTXKLxOlbn+l5dYr&#10;wP6QV0KHpbE60eYabRt+/rjaOALJch0EyqeNb/dFt+KnSZY2x63Lq/L4Xqofvo3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ykuHTAAAABgEAAA8AAAAAAAAAAQAgAAAAIgAAAGRycy9kb3ducmV2&#10;LnhtbFBLAQIUABQAAAAIAIdO4kCfdH9ZyAEAAGMDAAAOAAAAAAAAAAEAIAAAACIBAABkcnMvZTJv&#10;RG9jLnhtbFBLBQYAAAAABgAGAFkBAABc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w:t>辽宁省社区教育指导中心</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 xml:space="preserve">      2023年3月13日印发</w:t>
      </w:r>
    </w:p>
    <w:p>
      <w:pPr>
        <w:rPr>
          <w:rFonts w:hint="eastAsia"/>
          <w:lang w:eastAsia="zh-CN"/>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52705</wp:posOffset>
                </wp:positionV>
                <wp:extent cx="567245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7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5pt;margin-top:4.15pt;height:0pt;width:446.65pt;z-index:251661312;mso-width-relative:page;mso-height-relative:page;" filled="f" stroked="t" coordsize="21600,21600" o:gfxdata="UEsDBAoAAAAAAIdO4kAAAAAAAAAAAAAAAAAEAAAAZHJzL1BLAwQUAAAACACHTuJAhJpsndMAAAAG&#10;AQAADwAAAGRycy9kb3ducmV2LnhtbE2PsU7EMBBEeyT+wVokujvnQHBWiHMFEgUSEhAoKH3xXhyw&#10;1yH2JeHvWWigWo1mNPum2i3BiwnH1EfSsFkXIJDaaHvqNLy+3K0UiJQNWeMjoYYvTLCrT08qU9o4&#10;0zNOTe4El1AqjQaX81BKmVqHwaR1HJDYO8QxmMxy7KQdzczlwcuLoriWwfTEH5wZ8NZh+9EcA7fQ&#10;9vOw+PHt6fHBqWZ+x/tpi1qfn22KGxAZl/wXhh98RoeamfbxSDYJr2F1dclJDYoP20opnrb/1bKu&#10;5H/8+htQSwMEFAAAAAgAh07iQOWbYYrHAQAAYwMAAA4AAABkcnMvZTJvRG9jLnhtbK1TzW4TMRC+&#10;I/EOlu/NpikbqlU2PTQqFwSRgAeYeO1dS/6Tx2STl+AFkLjBiSN33obyGIydNC1wq5rDxJ6fb/x9&#10;M7u42lnDtjKi9q7l55MpZ9IJ32nXt/zD+5uzS84wgevAeCdbvpfIr5bPny3G0MiZH7zpZGQE4rAZ&#10;Q8uHlEJTVSgGaQEnPkhHQeWjhUTX2FddhJHQralm0+m8Gn3sQvRCIpJ3dQjyZcFXSor0VimUiZmW&#10;09tSsbHYTbbVcgFNHyEMWhyfAY94hQXtqOkJagUJ2Meo/4OyWkSPXqWJ8LbySmkhCwdicz79h827&#10;AYIsXEgcDCeZ8OlgxZvtOjLdtbzmzIGlEd1+/vHr09ffP7+Qvf3+jdVZpDFgQ7nXbh2PNwzrmBnv&#10;VLT5n7iwXRF2fxJW7hIT5KznL2cvauog7mLVfWGImF5Jb1k+tNxolzlDA9vXmKgZpd6lZLfzN9qY&#10;Mjfj2Njy+UVNkxVA26MMJDraQHzQ9ZyB6WktRYoFEb3RXa7OOBj7zbWJbAt5NcovE6Vuf6Xl1ivA&#10;4ZBXQoelsTrR5hptW375sNo4AslyHQTKp43v9kW34qdJljbHrcur8vBequ+/j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JpsndMAAAAGAQAADwAAAAAAAAABACAAAAAiAAAAZHJzL2Rvd25yZXYu&#10;eG1sUEsBAhQAFAAAAAgAh07iQOWbYYrHAQAAYwMAAA4AAAAAAAAAAQAgAAAAIgEAAGRycy9lMm9E&#10;b2MueG1sUEsFBgAAAAAGAAYAWQEAAFsFAAAAAA==&#10;">
                <v:fill on="f" focussize="0,0"/>
                <v:stroke weight="0.5pt" color="#000000 [3200]" miterlimit="8" joinstyle="miter"/>
                <v:imagedata o:title=""/>
                <o:lock v:ext="edit" aspectratio="f"/>
              </v:line>
            </w:pict>
          </mc:Fallback>
        </mc:AlternateConten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D26D8"/>
    <w:rsid w:val="32927F4A"/>
    <w:rsid w:val="7B11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2023-03-14T02:22:00Z</dcterms:created>
  <dc:creator>Administrator</dc:creator>
  <cp:lastModifiedBy>Administrator</cp:lastModifiedBy>
  <cp:lastPrinted>2023-03-21T05:54:53Z</cp:lastPrinted>
  <dcterms:modified xsi:type="dcterms:W3CDTF">2023-03-21T05:57:17Z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